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eastAsia="宋体" w:cs="Arial"/>
          <w:sz w:val="24"/>
          <w:szCs w:val="24"/>
          <w:lang w:val="en-US" w:eastAsia="zh-CN"/>
        </w:rPr>
      </w:pPr>
      <w:bookmarkStart w:id="0" w:name="Title"/>
      <w:bookmarkEnd w:id="0"/>
      <w:bookmarkStart w:id="1" w:name="DocumentFor"/>
      <w:bookmarkEnd w:id="1"/>
      <w:r>
        <w:rPr>
          <w:rFonts w:eastAsia="宋体" w:cs="Arial"/>
          <w:sz w:val="24"/>
          <w:szCs w:val="24"/>
          <w:lang w:eastAsia="zh-CN"/>
        </w:rPr>
        <w:t>3GPP TSG-RAN WG4 Meeting #11</w:t>
      </w:r>
      <w:r>
        <w:rPr>
          <w:rFonts w:eastAsia="宋体" w:cs="Arial"/>
          <w:sz w:val="24"/>
          <w:szCs w:val="24"/>
          <w:lang w:val="en-US" w:eastAsia="zh-CN"/>
        </w:rPr>
        <w:t>6</w:t>
      </w:r>
      <w:r>
        <w:rPr>
          <w:rFonts w:hint="eastAsia" w:eastAsia="宋体" w:cs="Arial"/>
          <w:sz w:val="24"/>
          <w:szCs w:val="24"/>
          <w:lang w:val="en-US" w:eastAsia="zh-CN"/>
        </w:rPr>
        <w:t xml:space="preserve">bis                                 </w:t>
      </w:r>
      <w:r>
        <w:rPr>
          <w:rFonts w:eastAsia="宋体" w:cs="Arial"/>
          <w:sz w:val="24"/>
          <w:szCs w:val="24"/>
          <w:lang w:eastAsia="zh-CN"/>
        </w:rPr>
        <w:t>R4-2</w:t>
      </w:r>
      <w:r>
        <w:rPr>
          <w:rFonts w:hint="eastAsia" w:eastAsia="宋体" w:cs="Arial"/>
          <w:sz w:val="24"/>
          <w:szCs w:val="24"/>
          <w:lang w:val="en-US" w:eastAsia="zh-CN"/>
        </w:rPr>
        <w:t>514095</w:t>
      </w:r>
      <w:bookmarkStart w:id="3" w:name="_GoBack"/>
      <w:bookmarkEnd w:id="3"/>
      <w:r>
        <w:rPr>
          <w:rFonts w:hint="eastAsia" w:eastAsia="宋体" w:cs="Arial"/>
          <w:sz w:val="24"/>
          <w:szCs w:val="24"/>
          <w:lang w:val="en-US" w:eastAsia="zh-CN"/>
        </w:rPr>
        <w:t xml:space="preserve">                                                          </w:t>
      </w:r>
    </w:p>
    <w:p>
      <w:pPr>
        <w:pStyle w:val="27"/>
        <w:tabs>
          <w:tab w:val="right" w:pos="9781"/>
          <w:tab w:val="right" w:pos="13323"/>
        </w:tabs>
        <w:spacing w:before="60" w:after="60"/>
        <w:outlineLvl w:val="0"/>
        <w:rPr>
          <w:rFonts w:eastAsia="宋体" w:cs="Arial"/>
          <w:sz w:val="24"/>
          <w:szCs w:val="24"/>
          <w:lang w:val="en-US" w:eastAsia="zh-CN"/>
        </w:rPr>
      </w:pPr>
      <w:r>
        <w:rPr>
          <w:rFonts w:hint="eastAsia" w:eastAsia="宋体" w:cs="Arial"/>
          <w:sz w:val="24"/>
          <w:szCs w:val="24"/>
          <w:lang w:val="en-US" w:eastAsia="zh-CN"/>
        </w:rPr>
        <w:t>Prague</w:t>
      </w:r>
      <w:r>
        <w:rPr>
          <w:rFonts w:hint="eastAsia" w:eastAsia="宋体" w:cs="Arial"/>
          <w:sz w:val="24"/>
          <w:szCs w:val="24"/>
          <w:lang w:eastAsia="zh-CN"/>
        </w:rPr>
        <w:t>,</w:t>
      </w:r>
      <w:r>
        <w:rPr>
          <w:rFonts w:eastAsia="宋体" w:cs="Arial"/>
          <w:sz w:val="24"/>
          <w:szCs w:val="24"/>
          <w:lang w:eastAsia="zh-CN"/>
        </w:rPr>
        <w:t xml:space="preserve"> </w:t>
      </w:r>
      <w:r>
        <w:rPr>
          <w:rFonts w:hint="eastAsia" w:eastAsia="宋体" w:cs="Arial"/>
          <w:sz w:val="24"/>
          <w:szCs w:val="24"/>
          <w:lang w:val="en-US" w:eastAsia="zh-CN"/>
        </w:rPr>
        <w:t>Czech</w:t>
      </w:r>
      <w:r>
        <w:rPr>
          <w:rFonts w:eastAsia="宋体" w:cs="Arial"/>
          <w:sz w:val="24"/>
          <w:szCs w:val="24"/>
          <w:lang w:eastAsia="zh-CN"/>
        </w:rPr>
        <w:t xml:space="preserve">, </w:t>
      </w:r>
      <w:r>
        <w:rPr>
          <w:rFonts w:hint="eastAsia" w:eastAsia="宋体" w:cs="Arial"/>
          <w:sz w:val="24"/>
          <w:szCs w:val="24"/>
          <w:lang w:val="en-US" w:eastAsia="zh-CN"/>
        </w:rPr>
        <w:t>13</w:t>
      </w:r>
      <w:r>
        <w:rPr>
          <w:rFonts w:eastAsia="宋体" w:cs="Arial"/>
          <w:sz w:val="24"/>
          <w:szCs w:val="24"/>
          <w:vertAlign w:val="superscript"/>
          <w:lang w:eastAsia="zh-CN"/>
        </w:rPr>
        <w:t>th</w:t>
      </w:r>
      <w:r>
        <w:rPr>
          <w:rFonts w:eastAsia="宋体" w:cs="Arial"/>
          <w:sz w:val="24"/>
          <w:szCs w:val="24"/>
          <w:lang w:eastAsia="zh-CN"/>
        </w:rPr>
        <w:t xml:space="preserve"> – </w:t>
      </w:r>
      <w:r>
        <w:rPr>
          <w:rFonts w:hint="eastAsia" w:eastAsia="宋体" w:cs="Arial"/>
          <w:sz w:val="24"/>
          <w:szCs w:val="24"/>
          <w:lang w:val="en-US" w:eastAsia="zh-CN"/>
        </w:rPr>
        <w:t>17</w:t>
      </w:r>
      <w:r>
        <w:rPr>
          <w:rFonts w:hint="eastAsia" w:eastAsia="宋体" w:cs="Arial"/>
          <w:sz w:val="24"/>
          <w:szCs w:val="24"/>
          <w:vertAlign w:val="superscript"/>
          <w:lang w:val="en-US" w:eastAsia="zh-CN"/>
        </w:rPr>
        <w:t>th</w:t>
      </w:r>
      <w:r>
        <w:rPr>
          <w:rFonts w:eastAsia="宋体" w:cs="Arial"/>
          <w:sz w:val="24"/>
          <w:szCs w:val="24"/>
          <w:lang w:eastAsia="zh-CN"/>
        </w:rPr>
        <w:t xml:space="preserve"> </w:t>
      </w:r>
      <w:r>
        <w:rPr>
          <w:rFonts w:hint="eastAsia" w:eastAsia="宋体" w:cs="Arial"/>
          <w:sz w:val="24"/>
          <w:szCs w:val="24"/>
          <w:lang w:val="en-US" w:eastAsia="zh-CN"/>
        </w:rPr>
        <w:t>October</w:t>
      </w:r>
      <w:r>
        <w:rPr>
          <w:rFonts w:eastAsia="宋体" w:cs="Arial"/>
          <w:sz w:val="24"/>
          <w:szCs w:val="24"/>
          <w:lang w:eastAsia="zh-CN"/>
        </w:rPr>
        <w:t>, 202</w:t>
      </w:r>
      <w:r>
        <w:rPr>
          <w:rFonts w:hint="eastAsia" w:eastAsia="宋体" w:cs="Arial"/>
          <w:sz w:val="24"/>
          <w:szCs w:val="24"/>
          <w:lang w:val="en-US" w:eastAsia="zh-CN"/>
        </w:rPr>
        <w:t>5</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performance requirements on Ku band NTN</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5.10.2</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7"/>
        <w:rPr>
          <w:lang w:val="en-US"/>
        </w:rPr>
      </w:pPr>
      <w:r>
        <w:rPr>
          <w:lang w:val="en-US"/>
        </w:rPr>
        <w:t>Intro</w:t>
      </w:r>
      <w:r>
        <w:rPr>
          <w:rStyle w:val="78"/>
          <w:lang w:val="en-US"/>
        </w:rPr>
        <w:t>ductio</w:t>
      </w:r>
      <w:r>
        <w:rPr>
          <w:lang w:val="en-US"/>
        </w:rPr>
        <w:t>n</w:t>
      </w:r>
    </w:p>
    <w:p>
      <w:pPr>
        <w:spacing w:before="120" w:beforeLines="50" w:after="120" w:afterLines="50"/>
        <w:jc w:val="both"/>
        <w:rPr>
          <w:rFonts w:eastAsia="宋体"/>
          <w:sz w:val="22"/>
          <w:szCs w:val="22"/>
          <w:lang w:val="en-US" w:eastAsia="zh-CN"/>
        </w:rPr>
      </w:pPr>
      <w:r>
        <w:rPr>
          <w:rFonts w:hint="eastAsia" w:eastAsia="宋体"/>
          <w:sz w:val="22"/>
          <w:szCs w:val="22"/>
          <w:lang w:val="en-US" w:eastAsia="zh-CN"/>
        </w:rPr>
        <w:t>RRM core requirements for Rel-19 Ku band NTN are discussed in past meetings. Since the scope of the core requirements is stable enough, it is time for RAN4 to start working on the performance part of the WI. In this paper we will provide our views on RRM performance requirements on Ku band NTN.</w:t>
      </w:r>
    </w:p>
    <w:p>
      <w:pPr>
        <w:pStyle w:val="77"/>
        <w:rPr>
          <w:lang w:val="en-US"/>
        </w:rPr>
      </w:pPr>
      <w:r>
        <w:rPr>
          <w:lang w:val="en-US"/>
        </w:rPr>
        <w:t>Discussion</w:t>
      </w:r>
    </w:p>
    <w:p>
      <w:pPr>
        <w:spacing w:after="120"/>
        <w:jc w:val="both"/>
        <w:rPr>
          <w:rFonts w:hint="eastAsia"/>
          <w:lang w:val="en-US" w:eastAsia="zh-CN"/>
        </w:rPr>
      </w:pPr>
      <w:r>
        <w:rPr>
          <w:rFonts w:hint="eastAsia"/>
          <w:lang w:val="en-US" w:eastAsia="zh-CN"/>
        </w:rPr>
        <w:t>In previous meetings, we have already defined several core requirements, we shall recognize defined requirements and discuss which test cases shall be confirmed.</w:t>
      </w:r>
    </w:p>
    <w:p>
      <w:pPr>
        <w:spacing w:after="120"/>
        <w:jc w:val="both"/>
        <w:rPr>
          <w:rFonts w:hint="eastAsia"/>
          <w:lang w:val="en-US" w:eastAsia="zh-CN"/>
        </w:rPr>
      </w:pPr>
      <w:r>
        <w:rPr>
          <w:rFonts w:hint="eastAsia"/>
          <w:lang w:val="en-US" w:eastAsia="zh-CN"/>
        </w:rPr>
        <w:t>In core part discussion, we reached several agreements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napToGrid w:val="0"/>
              <w:spacing w:before="0" w:beforeAutospacing="0" w:after="120" w:afterAutospacing="0"/>
              <w:ind w:left="0" w:right="0"/>
              <w:rPr>
                <w:rFonts w:hint="default"/>
                <w:color w:val="000000"/>
                <w:sz w:val="20"/>
                <w:szCs w:val="21"/>
              </w:rPr>
            </w:pPr>
            <w:r>
              <w:rPr>
                <w:rFonts w:hint="eastAsia"/>
                <w:color w:val="000000"/>
                <w:sz w:val="20"/>
                <w:szCs w:val="21"/>
                <w:highlight w:val="green"/>
              </w:rPr>
              <w:t>Agre</w:t>
            </w:r>
            <w:r>
              <w:rPr>
                <w:rFonts w:hint="default"/>
                <w:color w:val="000000"/>
                <w:sz w:val="20"/>
                <w:szCs w:val="21"/>
                <w:highlight w:val="green"/>
              </w:rPr>
              <w:t>ement:</w:t>
            </w:r>
          </w:p>
          <w:p>
            <w:pPr>
              <w:keepNext w:val="0"/>
              <w:keepLines w:val="0"/>
              <w:widowControl/>
              <w:numPr>
                <w:ilvl w:val="0"/>
                <w:numId w:val="3"/>
              </w:numPr>
              <w:suppressLineNumbers w:val="0"/>
              <w:overflowPunct w:val="0"/>
              <w:autoSpaceDE w:val="0"/>
              <w:autoSpaceDN w:val="0"/>
              <w:adjustRightInd w:val="0"/>
              <w:snapToGrid w:val="0"/>
              <w:spacing w:before="0" w:beforeAutospacing="0" w:after="120" w:afterAutospacing="0"/>
              <w:ind w:right="0"/>
              <w:textAlignment w:val="baseline"/>
              <w:rPr>
                <w:rFonts w:hint="default"/>
                <w:sz w:val="20"/>
                <w:szCs w:val="21"/>
              </w:rPr>
            </w:pPr>
            <w:r>
              <w:rPr>
                <w:rFonts w:hint="default"/>
                <w:color w:val="000000"/>
                <w:sz w:val="20"/>
                <w:szCs w:val="21"/>
              </w:rPr>
              <w:t>For</w:t>
            </w:r>
            <w:r>
              <w:rPr>
                <w:rFonts w:hint="default"/>
                <w:sz w:val="20"/>
                <w:szCs w:val="21"/>
              </w:rPr>
              <w:t xml:space="preserve"> SCS, consider SCS=30kHz in FR1-NTN numerology and 120kHz in FR2-NTN numerology, </w:t>
            </w:r>
            <w:r>
              <w:rPr>
                <w:rFonts w:hint="default"/>
                <w:sz w:val="20"/>
                <w:szCs w:val="21"/>
                <w:u w:val="single"/>
              </w:rPr>
              <w:t>f</w:t>
            </w:r>
            <w:r>
              <w:rPr>
                <w:rFonts w:hint="default"/>
                <w:sz w:val="20"/>
                <w:szCs w:val="21"/>
              </w:rPr>
              <w:t>ollowing the discussion in BDaT session.</w:t>
            </w:r>
          </w:p>
          <w:p>
            <w:pPr>
              <w:keepNext w:val="0"/>
              <w:keepLines w:val="0"/>
              <w:widowControl/>
              <w:numPr>
                <w:ilvl w:val="0"/>
                <w:numId w:val="3"/>
              </w:numPr>
              <w:suppressLineNumbers w:val="0"/>
              <w:overflowPunct w:val="0"/>
              <w:autoSpaceDE w:val="0"/>
              <w:autoSpaceDN w:val="0"/>
              <w:adjustRightInd w:val="0"/>
              <w:snapToGrid w:val="0"/>
              <w:spacing w:before="0" w:beforeAutospacing="0" w:after="120" w:afterAutospacing="0"/>
              <w:ind w:right="0"/>
              <w:textAlignment w:val="baseline"/>
              <w:rPr>
                <w:rFonts w:hint="default"/>
                <w:color w:val="000000"/>
                <w:sz w:val="20"/>
                <w:szCs w:val="21"/>
              </w:rPr>
            </w:pPr>
            <w:r>
              <w:rPr>
                <w:rFonts w:hint="default"/>
                <w:color w:val="000000"/>
                <w:sz w:val="20"/>
                <w:szCs w:val="21"/>
              </w:rPr>
              <w:t>Mobile VSAT UE shall be considered from RAN4 RRM requirement perspective. There are four cases shall be considered for mobile VSAT UE:</w:t>
            </w:r>
          </w:p>
          <w:p>
            <w:pPr>
              <w:keepNext w:val="0"/>
              <w:keepLines w:val="0"/>
              <w:widowControl/>
              <w:numPr>
                <w:ilvl w:val="1"/>
                <w:numId w:val="3"/>
              </w:numPr>
              <w:suppressLineNumbers w:val="0"/>
              <w:overflowPunct w:val="0"/>
              <w:autoSpaceDE w:val="0"/>
              <w:autoSpaceDN w:val="0"/>
              <w:adjustRightInd w:val="0"/>
              <w:snapToGrid w:val="0"/>
              <w:spacing w:before="0" w:beforeAutospacing="0" w:after="120" w:afterAutospacing="0"/>
              <w:ind w:right="0"/>
              <w:textAlignment w:val="baseline"/>
              <w:rPr>
                <w:rFonts w:hint="default"/>
                <w:color w:val="000000"/>
                <w:sz w:val="20"/>
                <w:szCs w:val="21"/>
              </w:rPr>
            </w:pPr>
            <w:r>
              <w:rPr>
                <w:rFonts w:hint="default"/>
                <w:color w:val="000000"/>
                <w:sz w:val="20"/>
                <w:szCs w:val="21"/>
              </w:rPr>
              <w:t xml:space="preserve">Case 1: mobile VSAT UE served by GSO in FR1-NTN </w:t>
            </w:r>
            <w:r>
              <w:rPr>
                <w:rFonts w:hint="default"/>
                <w:sz w:val="20"/>
                <w:szCs w:val="21"/>
              </w:rPr>
              <w:t>numerology</w:t>
            </w:r>
          </w:p>
          <w:p>
            <w:pPr>
              <w:keepNext w:val="0"/>
              <w:keepLines w:val="0"/>
              <w:widowControl/>
              <w:numPr>
                <w:ilvl w:val="1"/>
                <w:numId w:val="3"/>
              </w:numPr>
              <w:suppressLineNumbers w:val="0"/>
              <w:overflowPunct w:val="0"/>
              <w:autoSpaceDE w:val="0"/>
              <w:autoSpaceDN w:val="0"/>
              <w:adjustRightInd w:val="0"/>
              <w:snapToGrid w:val="0"/>
              <w:spacing w:before="0" w:beforeAutospacing="0" w:after="120" w:afterAutospacing="0"/>
              <w:ind w:right="0"/>
              <w:textAlignment w:val="baseline"/>
              <w:rPr>
                <w:rFonts w:hint="default"/>
                <w:color w:val="000000"/>
                <w:sz w:val="20"/>
                <w:szCs w:val="21"/>
              </w:rPr>
            </w:pPr>
            <w:r>
              <w:rPr>
                <w:rFonts w:hint="default"/>
                <w:color w:val="000000"/>
                <w:sz w:val="20"/>
                <w:szCs w:val="21"/>
              </w:rPr>
              <w:t xml:space="preserve">Case 2: mobile VSAT UE served by NGSO in FR1-NTN </w:t>
            </w:r>
            <w:r>
              <w:rPr>
                <w:rFonts w:hint="default"/>
                <w:sz w:val="20"/>
                <w:szCs w:val="21"/>
              </w:rPr>
              <w:t>numerology</w:t>
            </w:r>
          </w:p>
          <w:p>
            <w:pPr>
              <w:keepNext w:val="0"/>
              <w:keepLines w:val="0"/>
              <w:widowControl/>
              <w:numPr>
                <w:ilvl w:val="1"/>
                <w:numId w:val="3"/>
              </w:numPr>
              <w:suppressLineNumbers w:val="0"/>
              <w:overflowPunct w:val="0"/>
              <w:autoSpaceDE w:val="0"/>
              <w:autoSpaceDN w:val="0"/>
              <w:adjustRightInd w:val="0"/>
              <w:snapToGrid w:val="0"/>
              <w:spacing w:before="0" w:beforeAutospacing="0" w:after="120" w:afterAutospacing="0"/>
              <w:ind w:right="0"/>
              <w:textAlignment w:val="baseline"/>
              <w:rPr>
                <w:rFonts w:hint="default"/>
                <w:color w:val="000000"/>
                <w:sz w:val="20"/>
                <w:szCs w:val="21"/>
              </w:rPr>
            </w:pPr>
            <w:r>
              <w:rPr>
                <w:rFonts w:hint="default"/>
                <w:color w:val="000000"/>
                <w:sz w:val="20"/>
                <w:szCs w:val="21"/>
              </w:rPr>
              <w:t xml:space="preserve">Case 3: mobile VSAT UE served by GSO in FR2-NTN </w:t>
            </w:r>
            <w:r>
              <w:rPr>
                <w:rFonts w:hint="default"/>
                <w:sz w:val="20"/>
                <w:szCs w:val="21"/>
              </w:rPr>
              <w:t>numerology</w:t>
            </w:r>
          </w:p>
          <w:p>
            <w:pPr>
              <w:keepNext w:val="0"/>
              <w:keepLines w:val="0"/>
              <w:widowControl/>
              <w:numPr>
                <w:ilvl w:val="1"/>
                <w:numId w:val="3"/>
              </w:numPr>
              <w:suppressLineNumbers w:val="0"/>
              <w:overflowPunct w:val="0"/>
              <w:autoSpaceDE w:val="0"/>
              <w:autoSpaceDN w:val="0"/>
              <w:adjustRightInd w:val="0"/>
              <w:snapToGrid w:val="0"/>
              <w:spacing w:before="0" w:beforeAutospacing="0" w:after="120" w:afterAutospacing="0"/>
              <w:ind w:right="0"/>
              <w:textAlignment w:val="baseline"/>
              <w:rPr>
                <w:rFonts w:hint="default"/>
                <w:color w:val="000000" w:themeColor="text1"/>
                <w:sz w:val="20"/>
                <w:szCs w:val="20"/>
                <w14:textFill>
                  <w14:solidFill>
                    <w14:schemeClr w14:val="tx1"/>
                  </w14:solidFill>
                </w14:textFill>
              </w:rPr>
            </w:pPr>
            <w:r>
              <w:rPr>
                <w:rFonts w:hint="default"/>
                <w:color w:val="000000"/>
                <w:sz w:val="20"/>
                <w:szCs w:val="21"/>
              </w:rPr>
              <w:t>Case 4: mobile VSAT UE served by NGSO in FR2-NTN numerology</w:t>
            </w:r>
          </w:p>
          <w:p>
            <w:pPr>
              <w:keepNext w:val="0"/>
              <w:keepLines w:val="0"/>
              <w:widowControl/>
              <w:suppressLineNumbers w:val="0"/>
              <w:snapToGrid w:val="0"/>
              <w:spacing w:before="0" w:beforeAutospacing="0" w:after="120" w:afterAutospacing="0"/>
              <w:ind w:left="0" w:right="0"/>
              <w:rPr>
                <w:rFonts w:hint="default"/>
                <w:color w:val="000000"/>
                <w:sz w:val="20"/>
                <w:szCs w:val="21"/>
                <w:highlight w:val="green"/>
                <w:u w:val="single"/>
              </w:rPr>
            </w:pPr>
            <w:r>
              <w:rPr>
                <w:rFonts w:hint="default"/>
                <w:color w:val="000000"/>
                <w:sz w:val="20"/>
                <w:szCs w:val="21"/>
                <w:highlight w:val="green"/>
                <w:u w:val="single"/>
              </w:rPr>
              <w:t>Agreement:</w:t>
            </w:r>
          </w:p>
          <w:p>
            <w:pPr>
              <w:keepNext w:val="0"/>
              <w:keepLines w:val="0"/>
              <w:widowControl/>
              <w:numPr>
                <w:ilvl w:val="0"/>
                <w:numId w:val="3"/>
              </w:numPr>
              <w:suppressLineNumbers w:val="0"/>
              <w:overflowPunct w:val="0"/>
              <w:autoSpaceDE w:val="0"/>
              <w:autoSpaceDN w:val="0"/>
              <w:adjustRightInd w:val="0"/>
              <w:snapToGrid w:val="0"/>
              <w:spacing w:before="0" w:beforeAutospacing="0" w:after="120" w:afterAutospacing="0"/>
              <w:ind w:right="0"/>
              <w:textAlignment w:val="baseline"/>
              <w:rPr>
                <w:rFonts w:hint="default"/>
                <w:color w:val="000000"/>
                <w:sz w:val="20"/>
                <w:szCs w:val="21"/>
              </w:rPr>
            </w:pPr>
            <w:r>
              <w:rPr>
                <w:rFonts w:hint="default"/>
                <w:color w:val="000000"/>
                <w:sz w:val="20"/>
                <w:szCs w:val="21"/>
              </w:rPr>
              <w:t>Define RRM requirements for added 15kHz SCS in FR1-NTN numerology for GSO in Ku-band</w:t>
            </w:r>
          </w:p>
          <w:p>
            <w:pPr>
              <w:keepNext w:val="0"/>
              <w:keepLines w:val="0"/>
              <w:widowControl/>
              <w:suppressLineNumbers w:val="0"/>
              <w:snapToGrid w:val="0"/>
              <w:spacing w:before="0" w:beforeAutospacing="0" w:after="120" w:afterAutospacing="0"/>
              <w:ind w:left="0" w:right="0"/>
              <w:rPr>
                <w:rFonts w:hint="default"/>
                <w:color w:val="000000"/>
                <w:sz w:val="20"/>
                <w:szCs w:val="21"/>
                <w:highlight w:val="green"/>
                <w:u w:val="single"/>
              </w:rPr>
            </w:pPr>
            <w:r>
              <w:rPr>
                <w:rFonts w:hint="eastAsia"/>
                <w:color w:val="000000"/>
                <w:sz w:val="20"/>
                <w:szCs w:val="21"/>
                <w:highlight w:val="green"/>
                <w:u w:val="single"/>
              </w:rPr>
              <w:t>A</w:t>
            </w:r>
            <w:r>
              <w:rPr>
                <w:rFonts w:hint="default"/>
                <w:color w:val="000000"/>
                <w:sz w:val="20"/>
                <w:szCs w:val="21"/>
                <w:highlight w:val="green"/>
                <w:u w:val="single"/>
              </w:rPr>
              <w:t xml:space="preserve">greement: </w:t>
            </w:r>
          </w:p>
          <w:p>
            <w:pPr>
              <w:keepNext w:val="0"/>
              <w:keepLines w:val="0"/>
              <w:widowControl/>
              <w:numPr>
                <w:ilvl w:val="0"/>
                <w:numId w:val="3"/>
              </w:numPr>
              <w:suppressLineNumbers w:val="0"/>
              <w:overflowPunct w:val="0"/>
              <w:autoSpaceDE w:val="0"/>
              <w:autoSpaceDN w:val="0"/>
              <w:adjustRightInd w:val="0"/>
              <w:snapToGrid w:val="0"/>
              <w:spacing w:before="0" w:beforeAutospacing="0" w:after="120" w:afterAutospacing="0"/>
              <w:ind w:right="0"/>
              <w:textAlignment w:val="baseline"/>
              <w:rPr>
                <w:rFonts w:hint="default"/>
                <w:color w:val="000000"/>
                <w:sz w:val="20"/>
                <w:szCs w:val="21"/>
                <w:lang w:val="en-GB"/>
              </w:rPr>
            </w:pPr>
            <w:r>
              <w:rPr>
                <w:rFonts w:hint="default" w:eastAsiaTheme="minorEastAsia"/>
                <w:color w:val="000000"/>
                <w:sz w:val="20"/>
                <w:szCs w:val="21"/>
                <w:lang w:val="en-GB"/>
              </w:rPr>
              <w:t xml:space="preserve">Clarify in clause 3.6.12 that “Unless otherwise stated, the requirements defined for FR2-NTN apply for VSAT working in FR1-NTN”. </w:t>
            </w:r>
          </w:p>
          <w:p>
            <w:pPr>
              <w:keepNext w:val="0"/>
              <w:keepLines w:val="0"/>
              <w:widowControl/>
              <w:suppressLineNumbers w:val="0"/>
              <w:spacing w:before="0" w:beforeAutospacing="0" w:after="120" w:afterAutospacing="0"/>
              <w:ind w:left="0" w:right="0"/>
              <w:jc w:val="both"/>
              <w:rPr>
                <w:rFonts w:hint="eastAsia"/>
                <w:sz w:val="20"/>
                <w:szCs w:val="20"/>
                <w:vertAlign w:val="baseline"/>
                <w:lang w:val="en-US" w:eastAsia="zh-CN"/>
              </w:rPr>
            </w:pPr>
          </w:p>
        </w:tc>
      </w:tr>
    </w:tbl>
    <w:p>
      <w:pPr>
        <w:spacing w:beforeLines="50" w:after="120"/>
        <w:jc w:val="both"/>
        <w:rPr>
          <w:rFonts w:hint="eastAsia"/>
          <w:lang w:val="en-US" w:eastAsia="zh-CN"/>
        </w:rPr>
      </w:pPr>
      <w:r>
        <w:rPr>
          <w:rFonts w:hint="eastAsia"/>
          <w:lang w:val="en-US" w:eastAsia="zh-CN"/>
        </w:rPr>
        <w:t>It is evident that the requirements defined for FR2-NTN apply for VSAT UE working in FR1-NTN, except for timing requirements. Since the timing requirements are not related to UE antenna but different SCS. Based on this point, we would like to define measurement accuracy requirements and test procedures.</w:t>
      </w:r>
    </w:p>
    <w:p>
      <w:pPr>
        <w:pStyle w:val="4"/>
        <w:rPr>
          <w:rFonts w:hint="default"/>
          <w:lang w:val="en-US" w:eastAsia="zh-CN"/>
        </w:rPr>
      </w:pPr>
      <w:r>
        <w:rPr>
          <w:lang w:val="en-US" w:eastAsia="zh-CN"/>
        </w:rPr>
        <w:t>2.1.1 Measurement Accuracy</w:t>
      </w:r>
      <w:r>
        <w:rPr>
          <w:rFonts w:hint="eastAsia"/>
          <w:lang w:val="en-US" w:eastAsia="zh-CN"/>
        </w:rPr>
        <w:t xml:space="preserve"> Requirements</w:t>
      </w:r>
    </w:p>
    <w:p>
      <w:pPr>
        <w:spacing w:beforeLines="50" w:after="120"/>
        <w:jc w:val="both"/>
        <w:rPr>
          <w:rFonts w:hint="eastAsia"/>
          <w:lang w:val="en-US" w:eastAsia="zh-CN"/>
        </w:rPr>
      </w:pPr>
      <w:r>
        <w:rPr>
          <w:rFonts w:hint="eastAsia"/>
          <w:lang w:val="en-US" w:eastAsia="zh-CN"/>
        </w:rPr>
        <w:t>From our perspective, measurement accuracy requirements for Ka band NTN shall be baseline when defining measurement accuracy requirements for Ku band NTN. The following bullets shall be considered:</w:t>
      </w:r>
    </w:p>
    <w:p>
      <w:pPr>
        <w:numPr>
          <w:ilvl w:val="0"/>
          <w:numId w:val="4"/>
        </w:numPr>
        <w:spacing w:beforeLines="50" w:after="120"/>
        <w:ind w:left="420" w:hanging="420"/>
        <w:jc w:val="both"/>
        <w:rPr>
          <w:rFonts w:hint="eastAsia"/>
          <w:lang w:val="en-US" w:eastAsia="zh-CN"/>
        </w:rPr>
      </w:pPr>
      <w:r>
        <w:rPr>
          <w:rFonts w:hint="eastAsia"/>
          <w:lang w:val="en-US" w:eastAsia="zh-CN"/>
        </w:rPr>
        <w:t xml:space="preserve">Intra-frequency RSRP accuracy requirements </w:t>
      </w:r>
    </w:p>
    <w:p>
      <w:pPr>
        <w:numPr>
          <w:ilvl w:val="0"/>
          <w:numId w:val="4"/>
        </w:numPr>
        <w:spacing w:beforeLines="50" w:after="120"/>
        <w:ind w:left="420" w:hanging="420"/>
        <w:jc w:val="both"/>
        <w:rPr>
          <w:rFonts w:hint="eastAsia"/>
          <w:lang w:val="en-US" w:eastAsia="zh-CN"/>
        </w:rPr>
      </w:pPr>
      <w:r>
        <w:rPr>
          <w:rFonts w:hint="eastAsia"/>
          <w:lang w:val="en-US" w:eastAsia="zh-CN"/>
        </w:rPr>
        <w:t xml:space="preserve">Inter-frequency RSRP accuracy requirements </w:t>
      </w:r>
    </w:p>
    <w:p>
      <w:pPr>
        <w:numPr>
          <w:ilvl w:val="0"/>
          <w:numId w:val="4"/>
        </w:numPr>
        <w:spacing w:beforeLines="50" w:after="120"/>
        <w:ind w:left="420" w:hanging="420"/>
        <w:jc w:val="both"/>
        <w:rPr>
          <w:rFonts w:hint="eastAsia"/>
          <w:lang w:val="en-US" w:eastAsia="zh-CN"/>
        </w:rPr>
      </w:pPr>
      <w:r>
        <w:rPr>
          <w:rFonts w:hint="eastAsia"/>
          <w:lang w:val="en-US" w:eastAsia="zh-CN"/>
        </w:rPr>
        <w:t xml:space="preserve">Intra-frequency RSRQ accuracy requirements </w:t>
      </w:r>
    </w:p>
    <w:p>
      <w:pPr>
        <w:numPr>
          <w:ilvl w:val="0"/>
          <w:numId w:val="4"/>
        </w:numPr>
        <w:spacing w:beforeLines="50" w:after="120"/>
        <w:ind w:left="420" w:hanging="420"/>
        <w:jc w:val="both"/>
        <w:rPr>
          <w:rFonts w:hint="eastAsia"/>
          <w:lang w:val="en-US" w:eastAsia="zh-CN"/>
        </w:rPr>
      </w:pPr>
      <w:r>
        <w:rPr>
          <w:rFonts w:hint="eastAsia"/>
          <w:lang w:val="en-US" w:eastAsia="zh-CN"/>
        </w:rPr>
        <w:t xml:space="preserve">Inter-frequency RSRQ accuracy requirements </w:t>
      </w:r>
    </w:p>
    <w:p>
      <w:pPr>
        <w:numPr>
          <w:ilvl w:val="0"/>
          <w:numId w:val="4"/>
        </w:numPr>
        <w:spacing w:beforeLines="50" w:after="120"/>
        <w:ind w:left="420" w:hanging="420"/>
        <w:jc w:val="both"/>
        <w:rPr>
          <w:rFonts w:hint="eastAsia"/>
          <w:lang w:val="en-US" w:eastAsia="zh-CN"/>
        </w:rPr>
      </w:pPr>
      <w:r>
        <w:rPr>
          <w:rFonts w:hint="eastAsia"/>
          <w:lang w:val="en-US" w:eastAsia="zh-CN"/>
        </w:rPr>
        <w:t xml:space="preserve">Intra-frequency SINR accuracy requirements </w:t>
      </w:r>
    </w:p>
    <w:p>
      <w:pPr>
        <w:numPr>
          <w:ilvl w:val="0"/>
          <w:numId w:val="4"/>
        </w:numPr>
        <w:spacing w:beforeLines="50" w:after="120"/>
        <w:ind w:left="420" w:hanging="420"/>
        <w:jc w:val="both"/>
        <w:rPr>
          <w:rFonts w:hint="eastAsia"/>
          <w:lang w:val="en-US" w:eastAsia="zh-CN"/>
        </w:rPr>
      </w:pPr>
      <w:r>
        <w:rPr>
          <w:rFonts w:hint="eastAsia"/>
          <w:lang w:val="en-US" w:eastAsia="zh-CN"/>
        </w:rPr>
        <w:t>Inter-frequency SINR accuracy requirements</w:t>
      </w:r>
    </w:p>
    <w:p>
      <w:pPr>
        <w:numPr>
          <w:ilvl w:val="0"/>
          <w:numId w:val="4"/>
        </w:numPr>
        <w:spacing w:beforeLines="50" w:after="120"/>
        <w:ind w:left="420" w:hanging="420"/>
        <w:jc w:val="both"/>
        <w:rPr>
          <w:rFonts w:hint="eastAsia"/>
          <w:lang w:val="en-US" w:eastAsia="zh-CN"/>
        </w:rPr>
      </w:pPr>
      <w:r>
        <w:rPr>
          <w:rFonts w:hint="eastAsia"/>
          <w:lang w:val="en-US" w:eastAsia="zh-CN"/>
        </w:rPr>
        <w:t>L1-RSRP accuracy requirements</w:t>
      </w:r>
    </w:p>
    <w:p>
      <w:pPr>
        <w:spacing w:beforeLines="50" w:after="120"/>
        <w:jc w:val="both"/>
        <w:rPr>
          <w:rFonts w:hint="default"/>
          <w:lang w:val="en-US" w:eastAsia="zh-CN"/>
        </w:rPr>
      </w:pPr>
      <w:r>
        <w:rPr>
          <w:rFonts w:hint="eastAsia"/>
          <w:lang w:val="en-US" w:eastAsia="zh-CN"/>
        </w:rPr>
        <w:t xml:space="preserve">In previous meeting, we have agreed that the requirements defined for FR2-NTN apply for VSAT working in FR1-NTN including accuracy requirements. Thus, the legacy measurement accuracy for Ka band NTN shall be reused for Ku band FR1-NTN and FR2-NTN, even if SCS is different. </w:t>
      </w:r>
    </w:p>
    <w:p>
      <w:pPr>
        <w:spacing w:beforeLines="50" w:after="120"/>
        <w:jc w:val="both"/>
        <w:rPr>
          <w:rFonts w:hint="eastAsia"/>
          <w:lang w:val="en-US" w:eastAsia="zh-CN"/>
        </w:rPr>
      </w:pPr>
      <w:r>
        <w:rPr>
          <w:rFonts w:hint="eastAsia"/>
          <w:lang w:val="en-US" w:eastAsia="zh-CN"/>
        </w:rPr>
        <w:t>We shall also clarify how and where to capture the accuracy requirements for Ku band NTN. Actually, we think the existing clause shall not be changed. Since the accuracy requirements for Ka band could be directly reused, and also apply to VSAT working in FR1-NTN. Hence, we shall not separate the case with different numerology. On the contrary, we suggest to add additional clarification on FR1 numerology in FR2-NTN clause. However, considering the different SCS, RAN4 shall only add FR1 numerology without changing legacy FR2-NTN accuracy requirements. For example,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numPr>
                <w:ilvl w:val="0"/>
                <w:numId w:val="5"/>
              </w:numPr>
              <w:suppressLineNumbers w:val="0"/>
              <w:overflowPunct w:val="0"/>
              <w:autoSpaceDE w:val="0"/>
              <w:autoSpaceDN w:val="0"/>
              <w:adjustRightInd w:val="0"/>
              <w:spacing w:before="0" w:beforeLines="-2147483648" w:beforeAutospacing="0" w:after="180" w:afterAutospacing="0"/>
              <w:ind w:left="0" w:right="0"/>
              <w:jc w:val="left"/>
              <w:rPr>
                <w:rFonts w:hint="default"/>
                <w:sz w:val="20"/>
                <w:szCs w:val="20"/>
                <w:vertAlign w:val="baseline"/>
                <w:lang w:val="en-US" w:eastAsia="zh-CN"/>
              </w:rPr>
            </w:pPr>
            <w:r>
              <w:rPr>
                <w:rFonts w:hint="default" w:ascii="Times New Roman" w:hAnsi="Times New Roman" w:eastAsia="Times New Roman" w:cs="v4.2.0"/>
                <w:kern w:val="0"/>
                <w:sz w:val="20"/>
                <w:szCs w:val="20"/>
                <w:lang w:val="en-US" w:eastAsia="zh-CN" w:bidi="ar"/>
              </w:rPr>
              <w:t xml:space="preserve">Unless otherwise specified, the requirements </w:t>
            </w:r>
            <w:r>
              <w:rPr>
                <w:rFonts w:hint="default" w:ascii="Times New Roman" w:hAnsi="Times New Roman" w:eastAsia="Times New Roman" w:cs="Times New Roman"/>
                <w:kern w:val="0"/>
                <w:sz w:val="20"/>
                <w:szCs w:val="20"/>
                <w:lang w:val="en-US" w:eastAsia="zh-CN" w:bidi="ar"/>
              </w:rPr>
              <w:t xml:space="preserve">for </w:t>
            </w:r>
            <w:r>
              <w:rPr>
                <w:rFonts w:hint="default" w:ascii="Times New Roman" w:hAnsi="Times New Roman" w:eastAsia="Times New Roman" w:cs="v4.2.0"/>
                <w:kern w:val="0"/>
                <w:sz w:val="20"/>
                <w:szCs w:val="20"/>
                <w:lang w:val="en-US" w:eastAsia="zh-CN" w:bidi="ar"/>
              </w:rPr>
              <w:t>absolute SS-RSRQ accuracy in this clause apply to a cell on the same frequency as that of the serving cell in FR2-NTN</w:t>
            </w:r>
            <w:r>
              <w:rPr>
                <w:rFonts w:hint="eastAsia" w:ascii="Times New Roman" w:hAnsi="Times New Roman" w:eastAsia="Times New Roman" w:cs="v4.2.0"/>
                <w:kern w:val="0"/>
                <w:sz w:val="20"/>
                <w:szCs w:val="20"/>
                <w:lang w:val="en-US" w:eastAsia="zh-CN" w:bidi="ar"/>
              </w:rPr>
              <w:t xml:space="preserve"> </w:t>
            </w:r>
            <w:r>
              <w:rPr>
                <w:rFonts w:hint="eastAsia" w:ascii="Times New Roman" w:hAnsi="Times New Roman" w:eastAsia="Times New Roman" w:cs="v4.2.0"/>
                <w:b/>
                <w:bCs/>
                <w:kern w:val="0"/>
                <w:sz w:val="20"/>
                <w:szCs w:val="20"/>
                <w:lang w:val="en-US" w:eastAsia="zh-CN" w:bidi="ar"/>
              </w:rPr>
              <w:t>or VSAT working in FR1-NTN</w:t>
            </w:r>
            <w:r>
              <w:rPr>
                <w:rFonts w:hint="default" w:ascii="Times New Roman" w:hAnsi="Times New Roman" w:eastAsia="Times New Roman" w:cs="v4.2.0"/>
                <w:kern w:val="0"/>
                <w:sz w:val="20"/>
                <w:szCs w:val="20"/>
                <w:lang w:val="en-US" w:eastAsia="zh-CN" w:bidi="ar"/>
              </w:rPr>
              <w:t>.</w:t>
            </w:r>
          </w:p>
          <w:p>
            <w:pPr>
              <w:keepNext w:val="0"/>
              <w:keepLines w:val="0"/>
              <w:widowControl/>
              <w:numPr>
                <w:ilvl w:val="0"/>
                <w:numId w:val="5"/>
              </w:numPr>
              <w:suppressLineNumbers w:val="0"/>
              <w:overflowPunct w:val="0"/>
              <w:autoSpaceDE w:val="0"/>
              <w:autoSpaceDN w:val="0"/>
              <w:adjustRightInd w:val="0"/>
              <w:spacing w:before="0" w:beforeLines="-2147483648" w:beforeAutospacing="0" w:after="180" w:afterAutospacing="0"/>
              <w:ind w:left="0" w:right="0"/>
              <w:jc w:val="left"/>
              <w:rPr>
                <w:rFonts w:hint="default"/>
                <w:sz w:val="20"/>
                <w:szCs w:val="20"/>
                <w:vertAlign w:val="baseline"/>
                <w:lang w:val="en-US" w:eastAsia="zh-CN"/>
              </w:rPr>
            </w:pPr>
          </w:p>
          <w:tbl>
            <w:tblPr>
              <w:tblStyle w:val="30"/>
              <w:tblW w:w="964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28" w:type="dxa"/>
                <w:bottom w:w="0" w:type="dxa"/>
                <w:right w:w="108" w:type="dxa"/>
              </w:tblCellMar>
            </w:tblPr>
            <w:tblGrid>
              <w:gridCol w:w="1159"/>
              <w:gridCol w:w="1163"/>
              <w:gridCol w:w="1159"/>
              <w:gridCol w:w="916"/>
              <w:gridCol w:w="749"/>
              <w:gridCol w:w="514"/>
              <w:gridCol w:w="609"/>
              <w:gridCol w:w="1681"/>
              <w:gridCol w:w="16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jc w:val="center"/>
              </w:trPr>
              <w:tc>
                <w:tcPr>
                  <w:tcW w:w="1204" w:type="pct"/>
                  <w:gridSpan w:val="2"/>
                  <w:tcBorders>
                    <w:top w:val="single" w:color="auto" w:sz="6" w:space="0"/>
                    <w:left w:val="single" w:color="auto" w:sz="4" w:space="0"/>
                    <w:bottom w:val="nil"/>
                    <w:right w:val="single" w:color="auto" w:sz="6"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Accuracy</w:t>
                  </w:r>
                </w:p>
              </w:tc>
              <w:tc>
                <w:tcPr>
                  <w:tcW w:w="3795" w:type="pct"/>
                  <w:gridSpan w:val="7"/>
                  <w:tcBorders>
                    <w:top w:val="single" w:color="auto" w:sz="4" w:space="0"/>
                    <w:left w:val="single" w:color="auto" w:sz="4" w:space="0"/>
                    <w:bottom w:val="nil"/>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Conditions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8" w:type="dxa"/>
                  <w:bottom w:w="0" w:type="dxa"/>
                  <w:right w:w="108" w:type="dxa"/>
                </w:tblCellMar>
              </w:tblPrEx>
              <w:trPr>
                <w:jc w:val="center"/>
              </w:trPr>
              <w:tc>
                <w:tcPr>
                  <w:tcW w:w="601" w:type="pct"/>
                  <w:tcBorders>
                    <w:top w:val="single" w:color="auto" w:sz="6" w:space="0"/>
                    <w:left w:val="single" w:color="auto" w:sz="4" w:space="0"/>
                    <w:bottom w:val="nil"/>
                    <w:right w:val="single" w:color="auto" w:sz="6"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Normal condition</w:t>
                  </w:r>
                </w:p>
              </w:tc>
              <w:tc>
                <w:tcPr>
                  <w:tcW w:w="603" w:type="pct"/>
                  <w:tcBorders>
                    <w:top w:val="single" w:color="auto" w:sz="6" w:space="0"/>
                    <w:left w:val="single" w:color="auto" w:sz="6" w:space="0"/>
                    <w:bottom w:val="nil"/>
                    <w:right w:val="single" w:color="auto" w:sz="6"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Extreme condition</w:t>
                  </w:r>
                </w:p>
              </w:tc>
              <w:tc>
                <w:tcPr>
                  <w:tcW w:w="601" w:type="pct"/>
                  <w:tcBorders>
                    <w:top w:val="single" w:color="auto" w:sz="4" w:space="0"/>
                    <w:left w:val="single" w:color="auto" w:sz="4" w:space="0"/>
                    <w:bottom w:val="nil"/>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Arial"/>
                      <w:b/>
                      <w:bCs w:val="0"/>
                      <w:kern w:val="0"/>
                      <w:sz w:val="18"/>
                      <w:szCs w:val="20"/>
                      <w:lang w:val="en-US" w:eastAsia="zh-CN" w:bidi="ar"/>
                    </w:rPr>
                    <w:t>SSB Ês/Iot</w:t>
                  </w:r>
                </w:p>
              </w:tc>
              <w:tc>
                <w:tcPr>
                  <w:tcW w:w="3194" w:type="pct"/>
                  <w:gridSpan w:val="6"/>
                  <w:tcBorders>
                    <w:top w:val="single" w:color="auto" w:sz="4" w:space="0"/>
                    <w:left w:val="single" w:color="auto" w:sz="4" w:space="0"/>
                    <w:bottom w:val="single" w:color="auto" w:sz="6"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Io</w:t>
                  </w:r>
                  <w:r>
                    <w:rPr>
                      <w:rFonts w:hint="default" w:ascii="Arial" w:hAnsi="Arial" w:eastAsia="Times New Roman" w:cs="Times New Roman"/>
                      <w:b/>
                      <w:bCs w:val="0"/>
                      <w:kern w:val="0"/>
                      <w:sz w:val="18"/>
                      <w:szCs w:val="20"/>
                      <w:vertAlign w:val="superscript"/>
                      <w:lang w:val="en-US" w:eastAsia="zh-CN" w:bidi="ar"/>
                    </w:rPr>
                    <w:t xml:space="preserve"> Note 2</w:t>
                  </w:r>
                  <w:r>
                    <w:rPr>
                      <w:rFonts w:hint="default" w:ascii="Arial" w:hAnsi="Arial" w:eastAsia="Times New Roman" w:cs="Times New Roman"/>
                      <w:b/>
                      <w:bCs w:val="0"/>
                      <w:kern w:val="0"/>
                      <w:sz w:val="18"/>
                      <w:szCs w:val="20"/>
                      <w:lang w:val="en-US" w:eastAsia="zh-CN" w:bidi="ar"/>
                    </w:rPr>
                    <w:t xml:space="preserve"> range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8" w:type="dxa"/>
                  <w:bottom w:w="0" w:type="dxa"/>
                  <w:right w:w="108" w:type="dxa"/>
                </w:tblCellMar>
              </w:tblPrEx>
              <w:trPr>
                <w:jc w:val="center"/>
              </w:trPr>
              <w:tc>
                <w:tcPr>
                  <w:tcW w:w="601" w:type="pct"/>
                  <w:tcBorders>
                    <w:top w:val="nil"/>
                    <w:left w:val="single" w:color="auto" w:sz="4" w:space="0"/>
                    <w:bottom w:val="single" w:color="auto" w:sz="6" w:space="0"/>
                    <w:right w:val="single" w:color="auto" w:sz="6"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c>
                <w:tcPr>
                  <w:tcW w:w="603" w:type="pct"/>
                  <w:tcBorders>
                    <w:top w:val="nil"/>
                    <w:left w:val="single" w:color="auto" w:sz="6" w:space="0"/>
                    <w:bottom w:val="single" w:color="auto" w:sz="6" w:space="0"/>
                    <w:right w:val="single" w:color="auto" w:sz="6"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c>
                <w:tcPr>
                  <w:tcW w:w="601" w:type="pct"/>
                  <w:tcBorders>
                    <w:top w:val="nil"/>
                    <w:left w:val="single" w:color="auto" w:sz="4" w:space="0"/>
                    <w:bottom w:val="single" w:color="auto" w:sz="6"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c>
                <w:tcPr>
                  <w:tcW w:w="2317" w:type="pct"/>
                  <w:gridSpan w:val="5"/>
                  <w:tcBorders>
                    <w:top w:val="single" w:color="auto" w:sz="4" w:space="0"/>
                    <w:left w:val="single" w:color="auto" w:sz="4" w:space="0"/>
                    <w:bottom w:val="single" w:color="auto" w:sz="6" w:space="0"/>
                    <w:right w:val="single" w:color="auto" w:sz="6"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Minimum Io</w:t>
                  </w:r>
                </w:p>
              </w:tc>
              <w:tc>
                <w:tcPr>
                  <w:tcW w:w="876" w:type="pct"/>
                  <w:tcBorders>
                    <w:top w:val="single" w:color="auto" w:sz="4" w:space="0"/>
                    <w:left w:val="single" w:color="auto" w:sz="6" w:space="0"/>
                    <w:bottom w:val="single" w:color="auto" w:sz="6"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Maximum Io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8" w:type="dxa"/>
                  <w:bottom w:w="0" w:type="dxa"/>
                  <w:right w:w="108" w:type="dxa"/>
                </w:tblCellMar>
              </w:tblPrEx>
              <w:trPr>
                <w:jc w:val="center"/>
              </w:trPr>
              <w:tc>
                <w:tcPr>
                  <w:tcW w:w="601" w:type="pct"/>
                  <w:tcBorders>
                    <w:top w:val="single" w:color="auto" w:sz="6" w:space="0"/>
                    <w:left w:val="single" w:color="auto" w:sz="4" w:space="0"/>
                    <w:bottom w:val="nil"/>
                    <w:right w:val="single" w:color="auto" w:sz="6"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dB</w:t>
                  </w:r>
                </w:p>
              </w:tc>
              <w:tc>
                <w:tcPr>
                  <w:tcW w:w="603" w:type="pct"/>
                  <w:tcBorders>
                    <w:top w:val="single" w:color="auto" w:sz="6" w:space="0"/>
                    <w:left w:val="single" w:color="auto" w:sz="6" w:space="0"/>
                    <w:bottom w:val="nil"/>
                    <w:right w:val="single" w:color="auto" w:sz="6"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dB</w:t>
                  </w:r>
                </w:p>
              </w:tc>
              <w:tc>
                <w:tcPr>
                  <w:tcW w:w="601" w:type="pct"/>
                  <w:tcBorders>
                    <w:top w:val="single" w:color="auto" w:sz="6" w:space="0"/>
                    <w:left w:val="single" w:color="auto" w:sz="4" w:space="0"/>
                    <w:bottom w:val="nil"/>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szCs w:val="20"/>
                      <w:lang w:val="en-US"/>
                    </w:rPr>
                  </w:pPr>
                  <w:r>
                    <w:rPr>
                      <w:rFonts w:hint="default" w:ascii="Arial" w:hAnsi="Arial" w:eastAsia="Times New Roman" w:cs="Times New Roman"/>
                      <w:b/>
                      <w:bCs w:val="0"/>
                      <w:kern w:val="0"/>
                      <w:sz w:val="18"/>
                      <w:szCs w:val="20"/>
                      <w:lang w:val="en-US" w:eastAsia="zh-CN" w:bidi="ar"/>
                    </w:rPr>
                    <w:t>dB</w:t>
                  </w:r>
                </w:p>
              </w:tc>
              <w:tc>
                <w:tcPr>
                  <w:tcW w:w="1445" w:type="pct"/>
                  <w:gridSpan w:val="4"/>
                  <w:tcBorders>
                    <w:top w:val="single" w:color="auto" w:sz="6" w:space="0"/>
                    <w:left w:val="single" w:color="auto" w:sz="4" w:space="0"/>
                    <w:bottom w:val="single" w:color="auto" w:sz="6" w:space="0"/>
                    <w:right w:val="single" w:color="auto" w:sz="6"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Arial"/>
                      <w:b/>
                      <w:bCs w:val="0"/>
                      <w:kern w:val="0"/>
                      <w:sz w:val="18"/>
                      <w:szCs w:val="20"/>
                      <w:lang w:val="en-US" w:eastAsia="zh-CN" w:bidi="ar"/>
                    </w:rPr>
                    <w:t xml:space="preserve">dBm / </w:t>
                  </w:r>
                  <w:r>
                    <w:rPr>
                      <w:rFonts w:hint="default" w:ascii="Arial" w:hAnsi="Arial" w:eastAsia="Times New Roman" w:cs="Times New Roman"/>
                      <w:b/>
                      <w:bCs w:val="0"/>
                      <w:kern w:val="0"/>
                      <w:sz w:val="18"/>
                      <w:szCs w:val="20"/>
                      <w:lang w:val="en-US" w:eastAsia="zh-CN" w:bidi="ar"/>
                    </w:rPr>
                    <w:t>SCS</w:t>
                  </w:r>
                  <w:r>
                    <w:rPr>
                      <w:rFonts w:hint="default" w:ascii="Arial" w:hAnsi="Arial" w:eastAsia="Times New Roman" w:cs="Times New Roman"/>
                      <w:b/>
                      <w:bCs w:val="0"/>
                      <w:kern w:val="0"/>
                      <w:sz w:val="18"/>
                      <w:szCs w:val="20"/>
                      <w:vertAlign w:val="subscript"/>
                      <w:lang w:val="en-US" w:eastAsia="zh-CN" w:bidi="ar"/>
                    </w:rPr>
                    <w:t>SSB</w:t>
                  </w:r>
                  <w:r>
                    <w:rPr>
                      <w:rFonts w:hint="default" w:ascii="Arial" w:hAnsi="Arial" w:eastAsia="Times New Roman" w:cs="Times New Roman"/>
                      <w:b/>
                      <w:bCs w:val="0"/>
                      <w:kern w:val="0"/>
                      <w:sz w:val="18"/>
                      <w:szCs w:val="20"/>
                      <w:vertAlign w:val="superscript"/>
                      <w:lang w:val="en-US" w:eastAsia="zh-CN" w:bidi="ar"/>
                    </w:rPr>
                    <w:t xml:space="preserve"> Note 1</w:t>
                  </w:r>
                </w:p>
              </w:tc>
              <w:tc>
                <w:tcPr>
                  <w:tcW w:w="871" w:type="pct"/>
                  <w:tcBorders>
                    <w:top w:val="single" w:color="auto" w:sz="6" w:space="0"/>
                    <w:left w:val="single" w:color="auto" w:sz="6" w:space="0"/>
                    <w:bottom w:val="nil"/>
                    <w:right w:val="single" w:color="auto" w:sz="6"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dBm/BW</w:t>
                  </w:r>
                  <w:r>
                    <w:rPr>
                      <w:rFonts w:hint="default" w:ascii="Arial" w:hAnsi="Arial" w:eastAsia="Times New Roman" w:cs="Times New Roman"/>
                      <w:b/>
                      <w:bCs w:val="0"/>
                      <w:kern w:val="0"/>
                      <w:sz w:val="18"/>
                      <w:szCs w:val="20"/>
                      <w:vertAlign w:val="subscript"/>
                      <w:lang w:val="en-US" w:eastAsia="zh-CN" w:bidi="ar"/>
                    </w:rPr>
                    <w:t>Channel</w:t>
                  </w:r>
                </w:p>
              </w:tc>
              <w:tc>
                <w:tcPr>
                  <w:tcW w:w="876" w:type="pct"/>
                  <w:tcBorders>
                    <w:top w:val="single" w:color="auto" w:sz="6" w:space="0"/>
                    <w:left w:val="single" w:color="auto" w:sz="6" w:space="0"/>
                    <w:bottom w:val="nil"/>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dBm/BW</w:t>
                  </w:r>
                  <w:r>
                    <w:rPr>
                      <w:rFonts w:hint="default" w:ascii="Arial" w:hAnsi="Arial" w:eastAsia="Times New Roman" w:cs="Times New Roman"/>
                      <w:b/>
                      <w:bCs w:val="0"/>
                      <w:kern w:val="0"/>
                      <w:sz w:val="18"/>
                      <w:szCs w:val="20"/>
                      <w:vertAlign w:val="subscript"/>
                      <w:lang w:val="en-US" w:eastAsia="zh-CN" w:bidi="ar"/>
                    </w:rPr>
                    <w:t>Channel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8" w:type="dxa"/>
                  <w:bottom w:w="0" w:type="dxa"/>
                  <w:right w:w="108" w:type="dxa"/>
                </w:tblCellMar>
              </w:tblPrEx>
              <w:trPr>
                <w:jc w:val="center"/>
              </w:trPr>
              <w:tc>
                <w:tcPr>
                  <w:tcW w:w="601" w:type="pct"/>
                  <w:tcBorders>
                    <w:top w:val="nil"/>
                    <w:left w:val="single" w:color="auto" w:sz="4" w:space="0"/>
                    <w:bottom w:val="single" w:color="auto" w:sz="6" w:space="0"/>
                    <w:right w:val="single" w:color="auto" w:sz="6"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c>
                <w:tcPr>
                  <w:tcW w:w="603" w:type="pct"/>
                  <w:tcBorders>
                    <w:top w:val="nil"/>
                    <w:left w:val="single" w:color="auto" w:sz="6" w:space="0"/>
                    <w:bottom w:val="single" w:color="auto" w:sz="6" w:space="0"/>
                    <w:right w:val="single" w:color="auto" w:sz="6"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c>
                <w:tcPr>
                  <w:tcW w:w="601" w:type="pct"/>
                  <w:tcBorders>
                    <w:top w:val="nil"/>
                    <w:left w:val="single" w:color="auto" w:sz="4" w:space="0"/>
                    <w:bottom w:val="single" w:color="auto" w:sz="6"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c>
                <w:tcPr>
                  <w:tcW w:w="475" w:type="pct"/>
                  <w:tcBorders>
                    <w:top w:val="single" w:color="auto" w:sz="6" w:space="0"/>
                    <w:left w:val="single" w:color="auto" w:sz="4" w:space="0"/>
                    <w:bottom w:val="single" w:color="auto" w:sz="6" w:space="0"/>
                    <w:right w:val="single" w:color="auto" w:sz="6"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SCS</w:t>
                  </w:r>
                  <w:r>
                    <w:rPr>
                      <w:rFonts w:hint="default" w:ascii="Arial" w:hAnsi="Arial" w:eastAsia="Times New Roman" w:cs="Times New Roman"/>
                      <w:b/>
                      <w:bCs w:val="0"/>
                      <w:kern w:val="0"/>
                      <w:sz w:val="18"/>
                      <w:szCs w:val="20"/>
                      <w:vertAlign w:val="subscript"/>
                      <w:lang w:val="en-US" w:eastAsia="zh-CN" w:bidi="ar"/>
                    </w:rPr>
                    <w:t>SSB</w:t>
                  </w:r>
                  <w:r>
                    <w:rPr>
                      <w:rFonts w:hint="default" w:ascii="Arial" w:hAnsi="Arial" w:eastAsia="Times New Roman" w:cs="Arial"/>
                      <w:b/>
                      <w:bCs w:val="0"/>
                      <w:kern w:val="0"/>
                      <w:sz w:val="18"/>
                      <w:szCs w:val="20"/>
                      <w:lang w:val="en-US" w:eastAsia="zh-CN" w:bidi="ar"/>
                    </w:rPr>
                    <w:t xml:space="preserve"> = 120 kHz</w:t>
                  </w:r>
                </w:p>
              </w:tc>
              <w:tc>
                <w:tcPr>
                  <w:tcW w:w="388" w:type="pct"/>
                  <w:tcBorders>
                    <w:top w:val="single" w:color="auto" w:sz="6" w:space="0"/>
                    <w:left w:val="single" w:color="auto" w:sz="4" w:space="0"/>
                    <w:bottom w:val="single" w:color="auto" w:sz="6" w:space="0"/>
                    <w:right w:val="single" w:color="auto" w:sz="6"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SCS</w:t>
                  </w:r>
                  <w:r>
                    <w:rPr>
                      <w:rFonts w:hint="default" w:ascii="Arial" w:hAnsi="Arial" w:eastAsia="Times New Roman" w:cs="Times New Roman"/>
                      <w:b/>
                      <w:bCs w:val="0"/>
                      <w:kern w:val="0"/>
                      <w:sz w:val="18"/>
                      <w:szCs w:val="20"/>
                      <w:vertAlign w:val="subscript"/>
                      <w:lang w:val="en-US" w:eastAsia="zh-CN" w:bidi="ar"/>
                    </w:rPr>
                    <w:t>SSB</w:t>
                  </w:r>
                  <w:r>
                    <w:rPr>
                      <w:rFonts w:hint="default" w:ascii="Arial" w:hAnsi="Arial" w:eastAsia="Times New Roman" w:cs="Arial"/>
                      <w:b/>
                      <w:bCs w:val="0"/>
                      <w:kern w:val="0"/>
                      <w:sz w:val="18"/>
                      <w:szCs w:val="20"/>
                      <w:lang w:val="en-US" w:eastAsia="zh-CN" w:bidi="ar"/>
                    </w:rPr>
                    <w:t xml:space="preserve"> = 240 kHz</w:t>
                  </w:r>
                </w:p>
              </w:tc>
              <w:tc>
                <w:tcPr>
                  <w:tcW w:w="266" w:type="pct"/>
                  <w:tcBorders>
                    <w:top w:val="single" w:color="auto" w:sz="6" w:space="0"/>
                    <w:left w:val="single" w:color="auto" w:sz="4" w:space="0"/>
                    <w:bottom w:val="single" w:color="auto" w:sz="6" w:space="0"/>
                    <w:right w:val="single" w:color="auto" w:sz="6"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Times New Roman"/>
                      <w:b/>
                      <w:bCs w:val="0"/>
                      <w:kern w:val="0"/>
                      <w:sz w:val="18"/>
                      <w:szCs w:val="20"/>
                      <w:lang w:val="en-US" w:eastAsia="zh-CN" w:bidi="ar"/>
                    </w:rPr>
                  </w:pPr>
                  <w:r>
                    <w:rPr>
                      <w:rFonts w:hint="default" w:ascii="Times New Roman" w:hAnsi="Times New Roman" w:eastAsia="Times New Roman" w:cs="Times New Roman"/>
                      <w:b/>
                      <w:bCs/>
                      <w:sz w:val="20"/>
                      <w:szCs w:val="20"/>
                      <w:lang w:val="en-US" w:eastAsia="en-US" w:bidi="ar"/>
                    </w:rPr>
                    <w:t>SCS</w:t>
                  </w:r>
                  <w:r>
                    <w:rPr>
                      <w:rFonts w:hint="default" w:ascii="Times New Roman" w:hAnsi="Times New Roman" w:eastAsia="Times New Roman" w:cs="Times New Roman"/>
                      <w:b/>
                      <w:bCs/>
                      <w:sz w:val="20"/>
                      <w:szCs w:val="20"/>
                      <w:vertAlign w:val="subscript"/>
                      <w:lang w:val="en-US" w:eastAsia="en-US" w:bidi="ar"/>
                    </w:rPr>
                    <w:t>SSB</w:t>
                  </w:r>
                  <w:r>
                    <w:rPr>
                      <w:rFonts w:hint="default" w:ascii="Times New Roman" w:hAnsi="Times New Roman" w:eastAsia="Times New Roman" w:cs="Arial"/>
                      <w:b/>
                      <w:bCs/>
                      <w:sz w:val="20"/>
                      <w:szCs w:val="20"/>
                      <w:lang w:val="en-US" w:eastAsia="en-US" w:bidi="ar"/>
                    </w:rPr>
                    <w:t xml:space="preserve"> = 15 kHz</w:t>
                  </w:r>
                </w:p>
              </w:tc>
              <w:tc>
                <w:tcPr>
                  <w:tcW w:w="315" w:type="pct"/>
                  <w:tcBorders>
                    <w:top w:val="single" w:color="auto" w:sz="6" w:space="0"/>
                    <w:left w:val="single" w:color="auto" w:sz="4" w:space="0"/>
                    <w:bottom w:val="single" w:color="auto" w:sz="6" w:space="0"/>
                    <w:right w:val="single" w:color="auto" w:sz="6"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Times New Roman"/>
                      <w:b/>
                      <w:bCs w:val="0"/>
                      <w:kern w:val="0"/>
                      <w:sz w:val="18"/>
                      <w:szCs w:val="20"/>
                      <w:lang w:val="en-US" w:eastAsia="zh-CN" w:bidi="ar"/>
                    </w:rPr>
                  </w:pPr>
                  <w:r>
                    <w:rPr>
                      <w:rFonts w:hint="default" w:ascii="Times New Roman" w:hAnsi="Times New Roman" w:eastAsia="Times New Roman" w:cs="Times New Roman"/>
                      <w:b/>
                      <w:bCs/>
                      <w:sz w:val="20"/>
                      <w:szCs w:val="20"/>
                      <w:lang w:val="en-US" w:eastAsia="en-US" w:bidi="ar"/>
                    </w:rPr>
                    <w:t>SCS</w:t>
                  </w:r>
                  <w:r>
                    <w:rPr>
                      <w:rFonts w:hint="default" w:ascii="Times New Roman" w:hAnsi="Times New Roman" w:eastAsia="Times New Roman" w:cs="Times New Roman"/>
                      <w:b/>
                      <w:bCs/>
                      <w:sz w:val="20"/>
                      <w:szCs w:val="20"/>
                      <w:vertAlign w:val="subscript"/>
                      <w:lang w:val="en-US" w:eastAsia="en-US" w:bidi="ar"/>
                    </w:rPr>
                    <w:t>SSB</w:t>
                  </w:r>
                  <w:r>
                    <w:rPr>
                      <w:rFonts w:hint="default" w:ascii="Times New Roman" w:hAnsi="Times New Roman" w:eastAsia="Times New Roman" w:cs="Arial"/>
                      <w:b/>
                      <w:bCs/>
                      <w:sz w:val="20"/>
                      <w:szCs w:val="20"/>
                      <w:lang w:val="en-US" w:eastAsia="en-US" w:bidi="ar"/>
                    </w:rPr>
                    <w:t xml:space="preserve"> = 30 kHz</w:t>
                  </w:r>
                </w:p>
              </w:tc>
              <w:tc>
                <w:tcPr>
                  <w:tcW w:w="871" w:type="pct"/>
                  <w:tcBorders>
                    <w:top w:val="nil"/>
                    <w:left w:val="single" w:color="auto" w:sz="6" w:space="0"/>
                    <w:bottom w:val="single" w:color="auto" w:sz="6" w:space="0"/>
                    <w:right w:val="single" w:color="auto" w:sz="6"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c>
                <w:tcPr>
                  <w:tcW w:w="876" w:type="pct"/>
                  <w:tcBorders>
                    <w:top w:val="nil"/>
                    <w:left w:val="single" w:color="auto" w:sz="6" w:space="0"/>
                    <w:bottom w:val="single" w:color="auto" w:sz="6"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8" w:type="dxa"/>
                  <w:bottom w:w="0" w:type="dxa"/>
                  <w:right w:w="108" w:type="dxa"/>
                </w:tblCellMar>
              </w:tblPrEx>
              <w:trPr>
                <w:jc w:val="center"/>
              </w:trPr>
              <w:tc>
                <w:tcPr>
                  <w:tcW w:w="601" w:type="pct"/>
                  <w:tcBorders>
                    <w:top w:val="single" w:color="auto" w:sz="6" w:space="0"/>
                    <w:left w:val="single" w:color="auto" w:sz="4" w:space="0"/>
                    <w:bottom w:val="nil"/>
                    <w:right w:val="single" w:color="auto" w:sz="6"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Symbol"/>
                      <w:kern w:val="0"/>
                      <w:sz w:val="18"/>
                      <w:szCs w:val="20"/>
                      <w:lang w:val="en-US" w:eastAsia="zh-CN" w:bidi="ar"/>
                    </w:rPr>
                    <w:sym w:font="Symbol" w:char="00B1"/>
                  </w:r>
                  <w:r>
                    <w:rPr>
                      <w:rFonts w:hint="default" w:ascii="Arial" w:hAnsi="Arial" w:eastAsia="Times New Roman" w:cs="Times New Roman"/>
                      <w:kern w:val="0"/>
                      <w:sz w:val="18"/>
                      <w:szCs w:val="20"/>
                      <w:lang w:val="en-US" w:eastAsia="zh-CN" w:bidi="ar"/>
                    </w:rPr>
                    <w:t>7</w:t>
                  </w:r>
                </w:p>
              </w:tc>
              <w:tc>
                <w:tcPr>
                  <w:tcW w:w="603" w:type="pct"/>
                  <w:tcBorders>
                    <w:top w:val="single" w:color="auto" w:sz="6" w:space="0"/>
                    <w:left w:val="single" w:color="auto" w:sz="6" w:space="0"/>
                    <w:bottom w:val="nil"/>
                    <w:right w:val="single" w:color="auto" w:sz="6"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Symbol"/>
                      <w:kern w:val="0"/>
                      <w:sz w:val="18"/>
                      <w:szCs w:val="20"/>
                      <w:lang w:val="en-US" w:eastAsia="zh-CN" w:bidi="ar"/>
                    </w:rPr>
                    <w:sym w:font="Symbol" w:char="00B1"/>
                  </w:r>
                  <w:r>
                    <w:rPr>
                      <w:rFonts w:hint="default" w:ascii="Arial" w:hAnsi="Arial" w:eastAsia="Times New Roman" w:cs="Times New Roman"/>
                      <w:kern w:val="0"/>
                      <w:sz w:val="18"/>
                      <w:szCs w:val="20"/>
                      <w:lang w:val="en-US" w:eastAsia="zh-CN" w:bidi="ar"/>
                    </w:rPr>
                    <w:t>10</w:t>
                  </w:r>
                </w:p>
              </w:tc>
              <w:tc>
                <w:tcPr>
                  <w:tcW w:w="601" w:type="pct"/>
                  <w:tcBorders>
                    <w:top w:val="single" w:color="auto" w:sz="6" w:space="0"/>
                    <w:left w:val="single" w:color="auto" w:sz="4" w:space="0"/>
                    <w:bottom w:val="nil"/>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Yu Mincho" w:cs="Arial"/>
                      <w:kern w:val="0"/>
                      <w:sz w:val="18"/>
                      <w:szCs w:val="20"/>
                      <w:lang w:val="en-US" w:eastAsia="zh-CN" w:bidi="ar"/>
                    </w:rPr>
                    <w:t>≥-6</w:t>
                  </w:r>
                </w:p>
              </w:tc>
              <w:tc>
                <w:tcPr>
                  <w:tcW w:w="475" w:type="pct"/>
                  <w:tcBorders>
                    <w:top w:val="single" w:color="auto" w:sz="6" w:space="0"/>
                    <w:left w:val="single" w:color="auto" w:sz="4" w:space="0"/>
                    <w:bottom w:val="single" w:color="auto" w:sz="6" w:space="0"/>
                    <w:right w:val="single" w:color="auto" w:sz="6"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Yu Mincho"/>
                      <w:szCs w:val="20"/>
                      <w:lang w:val="en-US"/>
                    </w:rPr>
                  </w:pPr>
                  <w:r>
                    <w:rPr>
                      <w:rFonts w:hint="default" w:ascii="Arial" w:hAnsi="Arial" w:eastAsia="Malgun Gothic" w:cs="Times New Roman"/>
                      <w:kern w:val="2"/>
                      <w:sz w:val="18"/>
                      <w:szCs w:val="24"/>
                      <w:lang w:val="en-US" w:eastAsia="ko" w:bidi="ar"/>
                    </w:rPr>
                    <w:t>Same value as SSB_RP derived from annex B.2.17, according to UE VSAT type</w:t>
                  </w:r>
                </w:p>
              </w:tc>
              <w:tc>
                <w:tcPr>
                  <w:tcW w:w="388" w:type="pct"/>
                  <w:tcBorders>
                    <w:top w:val="single" w:color="auto" w:sz="6" w:space="0"/>
                    <w:left w:val="single" w:color="auto" w:sz="4" w:space="0"/>
                    <w:bottom w:val="single" w:color="auto" w:sz="6" w:space="0"/>
                    <w:right w:val="single" w:color="auto" w:sz="6"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Times New Roman"/>
                      <w:kern w:val="2"/>
                      <w:sz w:val="18"/>
                      <w:szCs w:val="24"/>
                      <w:lang w:val="en-US" w:eastAsia="ko" w:bidi="ar"/>
                    </w:rPr>
                  </w:pPr>
                  <w:r>
                    <w:rPr>
                      <w:rFonts w:hint="default" w:ascii="Arial" w:hAnsi="Arial" w:eastAsia="Malgun Gothic" w:cs="Times New Roman"/>
                      <w:kern w:val="2"/>
                      <w:sz w:val="18"/>
                      <w:szCs w:val="24"/>
                      <w:lang w:val="en-US" w:eastAsia="ko" w:bidi="ar"/>
                    </w:rPr>
                    <w:t>Same value as SSB_RP derived from annex B.2.17, according to UE VSAT type</w:t>
                  </w:r>
                </w:p>
              </w:tc>
              <w:tc>
                <w:tcPr>
                  <w:tcW w:w="266" w:type="pct"/>
                  <w:tcBorders>
                    <w:top w:val="single" w:color="auto" w:sz="6" w:space="0"/>
                    <w:left w:val="single" w:color="auto" w:sz="4" w:space="0"/>
                    <w:bottom w:val="single" w:color="auto" w:sz="6" w:space="0"/>
                    <w:right w:val="single" w:color="auto" w:sz="6"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cs="Times New Roman"/>
                      <w:kern w:val="2"/>
                      <w:sz w:val="18"/>
                      <w:szCs w:val="24"/>
                      <w:lang w:val="en-US" w:eastAsia="zh-CN" w:bidi="ar"/>
                    </w:rPr>
                  </w:pPr>
                  <w:r>
                    <w:rPr>
                      <w:rFonts w:hint="eastAsia" w:ascii="Arial" w:hAnsi="Arial" w:eastAsia="宋体" w:cs="Times New Roman"/>
                      <w:kern w:val="2"/>
                      <w:sz w:val="18"/>
                      <w:szCs w:val="24"/>
                      <w:lang w:val="en-US" w:eastAsia="zh-CN" w:bidi="ar"/>
                    </w:rPr>
                    <w:t>-121</w:t>
                  </w:r>
                </w:p>
              </w:tc>
              <w:tc>
                <w:tcPr>
                  <w:tcW w:w="315" w:type="pct"/>
                  <w:tcBorders>
                    <w:top w:val="single" w:color="auto" w:sz="6" w:space="0"/>
                    <w:left w:val="single" w:color="auto" w:sz="4" w:space="0"/>
                    <w:bottom w:val="single" w:color="auto" w:sz="6" w:space="0"/>
                    <w:right w:val="single" w:color="auto" w:sz="6"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cs="Times New Roman"/>
                      <w:kern w:val="2"/>
                      <w:sz w:val="18"/>
                      <w:szCs w:val="24"/>
                      <w:lang w:val="en-US" w:eastAsia="zh-CN" w:bidi="ar"/>
                    </w:rPr>
                  </w:pPr>
                  <w:r>
                    <w:rPr>
                      <w:rFonts w:hint="eastAsia" w:ascii="Arial" w:hAnsi="Arial" w:eastAsia="宋体" w:cs="Times New Roman"/>
                      <w:kern w:val="2"/>
                      <w:sz w:val="18"/>
                      <w:szCs w:val="24"/>
                      <w:lang w:val="en-US" w:eastAsia="zh-CN" w:bidi="ar"/>
                    </w:rPr>
                    <w:t>-118</w:t>
                  </w:r>
                </w:p>
              </w:tc>
              <w:tc>
                <w:tcPr>
                  <w:tcW w:w="871" w:type="pct"/>
                  <w:tcBorders>
                    <w:top w:val="single" w:color="auto" w:sz="6" w:space="0"/>
                    <w:left w:val="single" w:color="auto" w:sz="6" w:space="0"/>
                    <w:bottom w:val="single" w:color="auto" w:sz="6" w:space="0"/>
                    <w:right w:val="single" w:color="auto" w:sz="6"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N/A</w:t>
                  </w:r>
                </w:p>
              </w:tc>
              <w:tc>
                <w:tcPr>
                  <w:tcW w:w="876" w:type="pct"/>
                  <w:tcBorders>
                    <w:top w:val="single" w:color="auto" w:sz="6" w:space="0"/>
                    <w:left w:val="single" w:color="auto" w:sz="6" w:space="0"/>
                    <w:bottom w:val="single" w:color="auto" w:sz="6"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8" w:type="dxa"/>
                  <w:bottom w:w="0" w:type="dxa"/>
                  <w:right w:w="108" w:type="dxa"/>
                </w:tblCellMar>
              </w:tblPrEx>
              <w:trPr>
                <w:jc w:val="center"/>
              </w:trPr>
              <w:tc>
                <w:tcPr>
                  <w:tcW w:w="601" w:type="pct"/>
                  <w:tcBorders>
                    <w:top w:val="single" w:color="auto" w:sz="6" w:space="0"/>
                    <w:left w:val="single" w:color="auto" w:sz="4" w:space="0"/>
                    <w:bottom w:val="single" w:color="auto" w:sz="6" w:space="0"/>
                    <w:right w:val="single" w:color="auto" w:sz="6"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Symbol"/>
                      <w:kern w:val="0"/>
                      <w:sz w:val="18"/>
                      <w:szCs w:val="20"/>
                      <w:lang w:val="en-US" w:eastAsia="zh-CN" w:bidi="ar"/>
                    </w:rPr>
                    <w:sym w:font="Symbol" w:char="00B1"/>
                  </w:r>
                  <w:r>
                    <w:rPr>
                      <w:rFonts w:hint="default" w:ascii="Arial" w:hAnsi="Arial" w:eastAsia="Times New Roman" w:cs="Times New Roman"/>
                      <w:kern w:val="0"/>
                      <w:sz w:val="18"/>
                      <w:szCs w:val="20"/>
                      <w:lang w:val="en-US" w:eastAsia="zh-CN" w:bidi="ar"/>
                    </w:rPr>
                    <w:t>9</w:t>
                  </w:r>
                </w:p>
              </w:tc>
              <w:tc>
                <w:tcPr>
                  <w:tcW w:w="603" w:type="pct"/>
                  <w:tcBorders>
                    <w:top w:val="single" w:color="auto" w:sz="6" w:space="0"/>
                    <w:left w:val="single" w:color="auto" w:sz="6" w:space="0"/>
                    <w:bottom w:val="single" w:color="auto" w:sz="6" w:space="0"/>
                    <w:right w:val="single" w:color="auto" w:sz="6"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Symbol"/>
                      <w:kern w:val="0"/>
                      <w:sz w:val="18"/>
                      <w:szCs w:val="20"/>
                      <w:lang w:val="en-US" w:eastAsia="zh-CN" w:bidi="ar"/>
                    </w:rPr>
                    <w:sym w:font="Symbol" w:char="00B1"/>
                  </w:r>
                  <w:r>
                    <w:rPr>
                      <w:rFonts w:hint="default" w:ascii="Arial" w:hAnsi="Arial" w:eastAsia="Times New Roman" w:cs="Times New Roman"/>
                      <w:kern w:val="0"/>
                      <w:sz w:val="18"/>
                      <w:szCs w:val="20"/>
                      <w:lang w:val="en-US" w:eastAsia="zh-CN" w:bidi="ar"/>
                    </w:rPr>
                    <w:t>12</w:t>
                  </w:r>
                </w:p>
              </w:tc>
              <w:tc>
                <w:tcPr>
                  <w:tcW w:w="601" w:type="pct"/>
                  <w:tcBorders>
                    <w:top w:val="nil"/>
                    <w:left w:val="single" w:color="auto" w:sz="4" w:space="0"/>
                    <w:bottom w:val="nil"/>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c>
                <w:tcPr>
                  <w:tcW w:w="1445" w:type="pct"/>
                  <w:gridSpan w:val="4"/>
                  <w:tcBorders>
                    <w:top w:val="single" w:color="auto" w:sz="6" w:space="0"/>
                    <w:left w:val="single" w:color="auto" w:sz="4" w:space="0"/>
                    <w:bottom w:val="single" w:color="auto" w:sz="6" w:space="0"/>
                    <w:right w:val="single" w:color="auto" w:sz="6"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Times New Roman"/>
                      <w:kern w:val="0"/>
                      <w:sz w:val="18"/>
                      <w:szCs w:val="20"/>
                      <w:lang w:val="en-US" w:eastAsia="zh-CN" w:bidi="ar"/>
                    </w:rPr>
                  </w:pPr>
                  <w:r>
                    <w:rPr>
                      <w:rFonts w:hint="default" w:ascii="Arial" w:hAnsi="Arial" w:eastAsia="Times New Roman" w:cs="Times New Roman"/>
                      <w:kern w:val="0"/>
                      <w:sz w:val="18"/>
                      <w:szCs w:val="20"/>
                      <w:lang w:val="en-US" w:eastAsia="zh-CN" w:bidi="ar"/>
                    </w:rPr>
                    <w:t>N/A</w:t>
                  </w:r>
                </w:p>
              </w:tc>
              <w:tc>
                <w:tcPr>
                  <w:tcW w:w="871" w:type="pct"/>
                  <w:tcBorders>
                    <w:top w:val="single" w:color="auto" w:sz="6" w:space="0"/>
                    <w:left w:val="single" w:color="auto" w:sz="6" w:space="0"/>
                    <w:bottom w:val="single" w:color="auto" w:sz="6" w:space="0"/>
                    <w:right w:val="single" w:color="auto" w:sz="6"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-70</w:t>
                  </w:r>
                </w:p>
              </w:tc>
              <w:tc>
                <w:tcPr>
                  <w:tcW w:w="876" w:type="pct"/>
                  <w:tcBorders>
                    <w:top w:val="single" w:color="auto" w:sz="6" w:space="0"/>
                    <w:left w:val="single" w:color="auto" w:sz="6" w:space="0"/>
                    <w:bottom w:val="single" w:color="auto" w:sz="6"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8" w:type="dxa"/>
                  <w:bottom w:w="0" w:type="dxa"/>
                  <w:right w:w="108" w:type="dxa"/>
                </w:tblCellMar>
              </w:tblPrEx>
              <w:trPr>
                <w:jc w:val="center"/>
              </w:trPr>
              <w:tc>
                <w:tcPr>
                  <w:tcW w:w="5000" w:type="pct"/>
                  <w:gridSpan w:val="9"/>
                  <w:tcBorders>
                    <w:top w:val="single" w:color="auto" w:sz="6" w:space="0"/>
                    <w:left w:val="single" w:color="auto" w:sz="4" w:space="0"/>
                    <w:bottom w:val="single" w:color="auto" w:sz="6"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NOTE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Values based on EIS as defined in clause 10.3 of TS 38.101-5 [42]. Applicable side condition selected depending on angle of arrival.</w:t>
                  </w:r>
                </w:p>
                <w:p>
                  <w:pPr>
                    <w:pStyle w:val="29"/>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NOTE 2:</w:t>
                  </w:r>
                  <w:r>
                    <w:rPr>
                      <w:rFonts w:hint="default" w:ascii="Arial" w:hAnsi="Arial" w:eastAsia="Times New Roman" w:cs="Times New Roman"/>
                      <w:kern w:val="0"/>
                      <w:sz w:val="18"/>
                      <w:szCs w:val="20"/>
                      <w:lang w:val="en-US" w:eastAsia="zh-CN" w:bidi="ar"/>
                    </w:rPr>
                    <w:tab/>
                  </w:r>
                  <w:r>
                    <w:rPr>
                      <w:rFonts w:hint="default" w:ascii="Arial" w:hAnsi="Arial" w:eastAsia="MS Mincho" w:cs="Times New Roman"/>
                      <w:kern w:val="0"/>
                      <w:sz w:val="18"/>
                      <w:szCs w:val="20"/>
                      <w:lang w:val="en-US" w:eastAsia="zh-CN" w:bidi="ar"/>
                    </w:rPr>
                    <w:t>Io specified at the Reference point, and assumed to have constant EPRE across the bandwidth</w:t>
                  </w:r>
                  <w:r>
                    <w:rPr>
                      <w:rFonts w:hint="default" w:ascii="Arial" w:hAnsi="Arial" w:eastAsia="Times New Roman" w:cs="Times New Roman"/>
                      <w:kern w:val="0"/>
                      <w:sz w:val="18"/>
                      <w:szCs w:val="20"/>
                      <w:lang w:val="en-US" w:eastAsia="zh-CN" w:bidi="ar"/>
                    </w:rPr>
                    <w:t>.</w:t>
                  </w:r>
                </w:p>
                <w:p>
                  <w:pPr>
                    <w:pStyle w:val="29"/>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NOTE 3:</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In the test cases, the SSB Ês/Iot and related parameters may need to be adjusted to ensure Ês/Iot at UE baseband is above the value defined in this table.</w:t>
                  </w:r>
                </w:p>
              </w:tc>
            </w:tr>
          </w:tbl>
          <w:p>
            <w:pPr>
              <w:keepNext w:val="0"/>
              <w:keepLines w:val="0"/>
              <w:widowControl/>
              <w:numPr>
                <w:ilvl w:val="0"/>
                <w:numId w:val="5"/>
              </w:numPr>
              <w:suppressLineNumbers w:val="0"/>
              <w:overflowPunct w:val="0"/>
              <w:autoSpaceDE w:val="0"/>
              <w:autoSpaceDN w:val="0"/>
              <w:adjustRightInd w:val="0"/>
              <w:spacing w:before="0" w:beforeLines="-2147483648" w:beforeAutospacing="0" w:after="180" w:afterAutospacing="0"/>
              <w:ind w:left="0" w:right="0"/>
              <w:jc w:val="left"/>
              <w:rPr>
                <w:rFonts w:hint="default"/>
                <w:sz w:val="20"/>
                <w:szCs w:val="20"/>
                <w:vertAlign w:val="baseline"/>
                <w:lang w:val="en-US" w:eastAsia="zh-CN"/>
              </w:rPr>
            </w:pPr>
          </w:p>
        </w:tc>
      </w:tr>
    </w:tbl>
    <w:p>
      <w:pPr>
        <w:spacing w:beforeLines="50" w:after="120"/>
        <w:jc w:val="both"/>
        <w:rPr>
          <w:rFonts w:hint="eastAsia"/>
          <w:b/>
          <w:bCs/>
          <w:lang w:val="en-US" w:eastAsia="zh-CN"/>
        </w:rPr>
      </w:pPr>
      <w:r>
        <w:rPr>
          <w:rFonts w:hint="eastAsia"/>
          <w:b/>
          <w:bCs/>
          <w:lang w:val="en-US" w:eastAsia="zh-CN"/>
        </w:rPr>
        <w:t>Proposal 1: The following measurement accuracy requirements shall be considered:</w:t>
      </w:r>
    </w:p>
    <w:p>
      <w:pPr>
        <w:numPr>
          <w:ilvl w:val="0"/>
          <w:numId w:val="4"/>
        </w:numPr>
        <w:spacing w:beforeLines="50" w:after="120"/>
        <w:ind w:left="420" w:hanging="420"/>
        <w:jc w:val="both"/>
        <w:rPr>
          <w:rFonts w:hint="eastAsia"/>
          <w:b/>
          <w:bCs/>
          <w:lang w:val="en-US" w:eastAsia="zh-CN"/>
        </w:rPr>
      </w:pPr>
      <w:r>
        <w:rPr>
          <w:rFonts w:hint="eastAsia"/>
          <w:b/>
          <w:bCs/>
          <w:lang w:val="en-US" w:eastAsia="zh-CN"/>
        </w:rPr>
        <w:t xml:space="preserve">Intra-frequency RSRP accuracy requirements </w:t>
      </w:r>
    </w:p>
    <w:p>
      <w:pPr>
        <w:numPr>
          <w:ilvl w:val="0"/>
          <w:numId w:val="4"/>
        </w:numPr>
        <w:spacing w:beforeLines="50" w:after="120"/>
        <w:ind w:left="420" w:hanging="420"/>
        <w:jc w:val="both"/>
        <w:rPr>
          <w:rFonts w:hint="eastAsia"/>
          <w:b/>
          <w:bCs/>
          <w:lang w:val="en-US" w:eastAsia="zh-CN"/>
        </w:rPr>
      </w:pPr>
      <w:r>
        <w:rPr>
          <w:rFonts w:hint="eastAsia"/>
          <w:b/>
          <w:bCs/>
          <w:lang w:val="en-US" w:eastAsia="zh-CN"/>
        </w:rPr>
        <w:t xml:space="preserve">Inter-frequency RSRP accuracy requirements </w:t>
      </w:r>
    </w:p>
    <w:p>
      <w:pPr>
        <w:numPr>
          <w:ilvl w:val="0"/>
          <w:numId w:val="4"/>
        </w:numPr>
        <w:spacing w:beforeLines="50" w:after="120"/>
        <w:ind w:left="420" w:hanging="420"/>
        <w:jc w:val="both"/>
        <w:rPr>
          <w:rFonts w:hint="eastAsia"/>
          <w:b/>
          <w:bCs/>
          <w:lang w:val="en-US" w:eastAsia="zh-CN"/>
        </w:rPr>
      </w:pPr>
      <w:r>
        <w:rPr>
          <w:rFonts w:hint="eastAsia"/>
          <w:b/>
          <w:bCs/>
          <w:lang w:val="en-US" w:eastAsia="zh-CN"/>
        </w:rPr>
        <w:t xml:space="preserve">Intra-frequency RSRQ accuracy requirements </w:t>
      </w:r>
    </w:p>
    <w:p>
      <w:pPr>
        <w:numPr>
          <w:ilvl w:val="0"/>
          <w:numId w:val="4"/>
        </w:numPr>
        <w:spacing w:beforeLines="50" w:after="120"/>
        <w:ind w:left="420" w:hanging="420"/>
        <w:jc w:val="both"/>
        <w:rPr>
          <w:rFonts w:hint="eastAsia"/>
          <w:b/>
          <w:bCs/>
          <w:lang w:val="en-US" w:eastAsia="zh-CN"/>
        </w:rPr>
      </w:pPr>
      <w:r>
        <w:rPr>
          <w:rFonts w:hint="eastAsia"/>
          <w:b/>
          <w:bCs/>
          <w:lang w:val="en-US" w:eastAsia="zh-CN"/>
        </w:rPr>
        <w:t xml:space="preserve">Inter-frequency RSRQ accuracy requirements </w:t>
      </w:r>
    </w:p>
    <w:p>
      <w:pPr>
        <w:numPr>
          <w:ilvl w:val="0"/>
          <w:numId w:val="4"/>
        </w:numPr>
        <w:spacing w:beforeLines="50" w:after="120"/>
        <w:ind w:left="420" w:hanging="420"/>
        <w:jc w:val="both"/>
        <w:rPr>
          <w:rFonts w:hint="eastAsia"/>
          <w:b/>
          <w:bCs/>
          <w:lang w:val="en-US" w:eastAsia="zh-CN"/>
        </w:rPr>
      </w:pPr>
      <w:r>
        <w:rPr>
          <w:rFonts w:hint="eastAsia"/>
          <w:b/>
          <w:bCs/>
          <w:lang w:val="en-US" w:eastAsia="zh-CN"/>
        </w:rPr>
        <w:t xml:space="preserve">Intra-frequency SINR accuracy requirements </w:t>
      </w:r>
    </w:p>
    <w:p>
      <w:pPr>
        <w:numPr>
          <w:ilvl w:val="0"/>
          <w:numId w:val="4"/>
        </w:numPr>
        <w:spacing w:beforeLines="50" w:after="120"/>
        <w:ind w:left="420" w:hanging="420"/>
        <w:jc w:val="both"/>
        <w:rPr>
          <w:rFonts w:hint="eastAsia"/>
          <w:b/>
          <w:bCs/>
          <w:lang w:val="en-US" w:eastAsia="zh-CN"/>
        </w:rPr>
      </w:pPr>
      <w:r>
        <w:rPr>
          <w:rFonts w:hint="eastAsia"/>
          <w:b/>
          <w:bCs/>
          <w:lang w:val="en-US" w:eastAsia="zh-CN"/>
        </w:rPr>
        <w:t>Inter-frequency SINR accuracy requirements</w:t>
      </w:r>
    </w:p>
    <w:p>
      <w:pPr>
        <w:numPr>
          <w:ilvl w:val="0"/>
          <w:numId w:val="4"/>
        </w:numPr>
        <w:spacing w:beforeLines="50" w:after="120"/>
        <w:ind w:left="420" w:hanging="420"/>
        <w:jc w:val="both"/>
        <w:rPr>
          <w:rFonts w:hint="eastAsia"/>
          <w:b/>
          <w:bCs/>
          <w:lang w:val="en-US" w:eastAsia="zh-CN"/>
        </w:rPr>
      </w:pPr>
      <w:r>
        <w:rPr>
          <w:rFonts w:hint="eastAsia"/>
          <w:b/>
          <w:bCs/>
          <w:lang w:val="en-US" w:eastAsia="zh-CN"/>
        </w:rPr>
        <w:t>L1-RSRP accuracy requirements</w:t>
      </w:r>
    </w:p>
    <w:p>
      <w:pPr>
        <w:spacing w:beforeLines="50" w:after="120"/>
        <w:jc w:val="both"/>
        <w:rPr>
          <w:rFonts w:hint="eastAsia"/>
          <w:b/>
          <w:bCs/>
          <w:lang w:val="en-US" w:eastAsia="zh-CN"/>
        </w:rPr>
      </w:pPr>
      <w:r>
        <w:rPr>
          <w:rFonts w:hint="eastAsia"/>
          <w:b/>
          <w:bCs/>
          <w:lang w:val="en-US" w:eastAsia="zh-CN"/>
        </w:rPr>
        <w:t>Observation 1: The requirements defined for FR2-NTN apply for VSAT working in FR1-NTN including accuracy requirements.</w:t>
      </w:r>
    </w:p>
    <w:p>
      <w:pPr>
        <w:spacing w:beforeLines="50" w:after="120"/>
        <w:jc w:val="both"/>
        <w:rPr>
          <w:rFonts w:hint="eastAsia"/>
          <w:b/>
          <w:bCs/>
          <w:lang w:val="en-US" w:eastAsia="zh-CN"/>
        </w:rPr>
      </w:pPr>
      <w:r>
        <w:rPr>
          <w:rFonts w:hint="eastAsia"/>
          <w:b/>
          <w:bCs/>
          <w:lang w:val="en-US" w:eastAsia="zh-CN"/>
        </w:rPr>
        <w:t>Proposal 2: The legacy measurement accuracy requirements for Ka band NTN shall be reused for Ku band FR1-NTN and FR2-NTN with different numerologies agreed in core part..</w:t>
      </w:r>
    </w:p>
    <w:p>
      <w:pPr>
        <w:spacing w:beforeLines="50" w:after="120"/>
        <w:jc w:val="both"/>
        <w:rPr>
          <w:rFonts w:hint="eastAsia"/>
          <w:b/>
          <w:bCs/>
          <w:lang w:val="en-US" w:eastAsia="zh-CN"/>
        </w:rPr>
      </w:pPr>
      <w:r>
        <w:rPr>
          <w:rFonts w:hint="eastAsia"/>
          <w:b/>
          <w:bCs/>
          <w:lang w:val="en-US" w:eastAsia="zh-CN"/>
        </w:rPr>
        <w:t xml:space="preserve">Proposal 3: </w:t>
      </w:r>
    </w:p>
    <w:p>
      <w:pPr>
        <w:spacing w:beforeLines="50" w:after="120"/>
        <w:jc w:val="both"/>
        <w:rPr>
          <w:rFonts w:hint="eastAsia"/>
          <w:b/>
          <w:bCs/>
          <w:lang w:val="en-US" w:eastAsia="zh-CN"/>
        </w:rPr>
      </w:pPr>
      <w:r>
        <w:rPr>
          <w:rFonts w:hint="eastAsia"/>
          <w:b/>
          <w:bCs/>
          <w:lang w:val="en-US" w:eastAsia="zh-CN"/>
        </w:rPr>
        <w:t>For how to capture the measurement accuracy requirements, RAN4 shall add FR1 numerology in FR2-NTN accuracy requirements table.</w:t>
      </w:r>
    </w:p>
    <w:p>
      <w:pPr>
        <w:spacing w:beforeLines="50" w:after="120"/>
        <w:jc w:val="both"/>
        <w:rPr>
          <w:rFonts w:hint="eastAsia"/>
          <w:b/>
          <w:bCs/>
          <w:lang w:val="en-US" w:eastAsia="zh-CN"/>
        </w:rPr>
      </w:pPr>
      <w:r>
        <w:rPr>
          <w:rFonts w:hint="eastAsia"/>
          <w:b/>
          <w:bCs/>
          <w:lang w:val="en-US" w:eastAsia="zh-CN"/>
        </w:rPr>
        <w:t>For where to capture the measurement accuracy requirements, RAN4 shall use the existing measurement accuracy requirements for FR2-NTN instead of introducing new clause.</w:t>
      </w:r>
    </w:p>
    <w:p>
      <w:pPr>
        <w:pStyle w:val="4"/>
        <w:rPr>
          <w:rFonts w:hint="default"/>
          <w:lang w:val="en-US" w:eastAsia="zh-CN"/>
        </w:rPr>
      </w:pPr>
      <w:r>
        <w:rPr>
          <w:lang w:val="en-US" w:eastAsia="zh-CN"/>
        </w:rPr>
        <w:t>2.1.</w:t>
      </w:r>
      <w:r>
        <w:rPr>
          <w:rFonts w:hint="eastAsia"/>
          <w:lang w:val="en-US" w:eastAsia="zh-CN"/>
        </w:rPr>
        <w:t>2</w:t>
      </w:r>
      <w:r>
        <w:rPr>
          <w:lang w:val="en-US" w:eastAsia="zh-CN"/>
        </w:rPr>
        <w:t xml:space="preserve"> </w:t>
      </w:r>
      <w:r>
        <w:rPr>
          <w:rFonts w:hint="eastAsia"/>
          <w:lang w:val="en-US" w:eastAsia="zh-CN"/>
        </w:rPr>
        <w:t>Test principle and setups</w:t>
      </w:r>
    </w:p>
    <w:p>
      <w:pPr>
        <w:spacing w:beforeLines="50" w:after="120"/>
        <w:jc w:val="both"/>
        <w:rPr>
          <w:rFonts w:hint="eastAsia"/>
          <w:lang w:val="en-US" w:eastAsia="zh-CN"/>
        </w:rPr>
      </w:pPr>
      <w:r>
        <w:rPr>
          <w:rFonts w:hint="eastAsia"/>
          <w:lang w:val="en-US" w:eastAsia="zh-CN"/>
        </w:rPr>
        <w:t>We observe that clause A.3.36 is test principle and setups refer to Satellite access. However, FR1-NTN and FR2-NTN have both been defined. To our understanding, only FR2-NTN shall be a reference.</w:t>
      </w:r>
    </w:p>
    <w:p>
      <w:pPr>
        <w:spacing w:beforeLines="50" w:after="120"/>
        <w:jc w:val="both"/>
        <w:rPr>
          <w:rFonts w:hint="eastAsia"/>
          <w:b/>
          <w:bCs/>
          <w:lang w:val="en-US" w:eastAsia="zh-CN"/>
        </w:rPr>
      </w:pPr>
      <w:r>
        <w:rPr>
          <w:rFonts w:hint="eastAsia"/>
          <w:b/>
          <w:bCs/>
          <w:lang w:val="en-US" w:eastAsia="zh-CN"/>
        </w:rPr>
        <w:t>Proposal 4: For test principle and setups, the testing related to satellite access defined in A.3.36 with FR2 can be a reference.</w:t>
      </w:r>
    </w:p>
    <w:p>
      <w:pPr>
        <w:pStyle w:val="4"/>
        <w:rPr>
          <w:rFonts w:hint="default"/>
          <w:lang w:val="en-US" w:eastAsia="zh-CN"/>
        </w:rPr>
      </w:pPr>
      <w:r>
        <w:rPr>
          <w:lang w:val="en-US" w:eastAsia="zh-CN"/>
        </w:rPr>
        <w:t>2.1.</w:t>
      </w:r>
      <w:r>
        <w:rPr>
          <w:rFonts w:hint="eastAsia"/>
          <w:lang w:val="en-US" w:eastAsia="zh-CN"/>
        </w:rPr>
        <w:t>3</w:t>
      </w:r>
      <w:r>
        <w:rPr>
          <w:lang w:val="en-US" w:eastAsia="zh-CN"/>
        </w:rPr>
        <w:t xml:space="preserve"> </w:t>
      </w:r>
      <w:r>
        <w:rPr>
          <w:rFonts w:hint="eastAsia"/>
          <w:lang w:val="en-US" w:eastAsia="zh-CN"/>
        </w:rPr>
        <w:t>Test configuration and parameters for Ku band NTN</w:t>
      </w:r>
    </w:p>
    <w:p>
      <w:pPr>
        <w:spacing w:beforeLines="50" w:after="120"/>
        <w:jc w:val="both"/>
        <w:rPr>
          <w:rFonts w:hint="eastAsia"/>
          <w:lang w:val="en-US" w:eastAsia="zh-CN"/>
        </w:rPr>
      </w:pPr>
      <w:r>
        <w:rPr>
          <w:rFonts w:hint="eastAsia"/>
          <w:lang w:val="en-US" w:eastAsia="zh-CN"/>
        </w:rPr>
        <w:t xml:space="preserve">We do think the legacy FR2-NTN testing procedure and test configuration could be the baseline for Ku abnd NTN. We shall consider that how to capture different SCS in one test configuration table or different test configuration tables. </w:t>
      </w:r>
    </w:p>
    <w:p>
      <w:pPr>
        <w:numPr>
          <w:ilvl w:val="-1"/>
          <w:numId w:val="0"/>
        </w:numPr>
        <w:spacing w:beforeLines="50" w:after="120"/>
        <w:jc w:val="both"/>
        <w:rPr>
          <w:rFonts w:hint="eastAsia"/>
          <w:lang w:val="en-US" w:eastAsia="zh-CN"/>
        </w:rPr>
      </w:pPr>
      <w:r>
        <w:rPr>
          <w:rFonts w:hint="eastAsia"/>
          <w:lang w:val="en-US" w:eastAsia="zh-CN"/>
        </w:rPr>
        <w:t>Option 1: If add different SCS in one test configuration table, if mobile VSAT UE supports both GSO and NGSO, it is at least to pass two test config with FR1 numerology and FR numerology, the GSO-based test cases can be skipped if the UE passes NGSO-based test cases.</w:t>
      </w:r>
    </w:p>
    <w:p>
      <w:pPr>
        <w:numPr>
          <w:ilvl w:val="-1"/>
          <w:numId w:val="0"/>
        </w:numPr>
        <w:spacing w:beforeLines="50" w:after="120"/>
        <w:jc w:val="both"/>
        <w:rPr>
          <w:rFonts w:hint="eastAsia"/>
          <w:lang w:val="en-US" w:eastAsia="zh-CN"/>
        </w:rPr>
      </w:pPr>
      <w:r>
        <w:rPr>
          <w:rFonts w:hint="eastAsia"/>
          <w:lang w:val="en-US" w:eastAsia="zh-CN"/>
        </w:rPr>
        <w:t xml:space="preserve">Option 2: If use different test configuration tables, if mobile VSAT UE supports both NGSO and GSO, the GSO-based test cases can be skipped if the UE passes NGSO-based test cases. </w:t>
      </w:r>
    </w:p>
    <w:p>
      <w:pPr>
        <w:numPr>
          <w:ilvl w:val="-1"/>
          <w:numId w:val="0"/>
        </w:numPr>
        <w:spacing w:beforeLines="50" w:after="120"/>
        <w:jc w:val="both"/>
        <w:rPr>
          <w:rFonts w:hint="eastAsia"/>
          <w:b/>
          <w:bCs/>
          <w:lang w:val="en-US" w:eastAsia="zh-CN"/>
        </w:rPr>
      </w:pPr>
      <w:r>
        <w:rPr>
          <w:rFonts w:hint="eastAsia"/>
          <w:b/>
          <w:bCs/>
          <w:lang w:val="en-US" w:eastAsia="zh-CN"/>
        </w:rPr>
        <w:t>Proposal 5: For test configuration,</w:t>
      </w:r>
    </w:p>
    <w:p>
      <w:pPr>
        <w:numPr>
          <w:ilvl w:val="1"/>
          <w:numId w:val="0"/>
        </w:numPr>
        <w:spacing w:beforeLines="50" w:after="120"/>
        <w:ind w:leftChars="100"/>
        <w:jc w:val="both"/>
        <w:rPr>
          <w:rFonts w:hint="eastAsia"/>
          <w:b/>
          <w:bCs/>
          <w:lang w:val="en-US" w:eastAsia="zh-CN"/>
        </w:rPr>
      </w:pPr>
      <w:r>
        <w:rPr>
          <w:rFonts w:hint="eastAsia"/>
          <w:b/>
          <w:bCs/>
          <w:lang w:val="en-US" w:eastAsia="zh-CN"/>
        </w:rPr>
        <w:t>Option 1: If add different SCS in one test configuration table, if mobile VSAT UE supports both GSO and NGSO, it is at least to pass two test config with FR1 numerology and FR numerology, the GSO-based test cases can be skipped if the UE passes NGSO-based test cases.</w:t>
      </w:r>
    </w:p>
    <w:p>
      <w:pPr>
        <w:numPr>
          <w:ilvl w:val="1"/>
          <w:numId w:val="0"/>
        </w:numPr>
        <w:spacing w:beforeLines="50" w:after="120"/>
        <w:ind w:leftChars="100"/>
        <w:jc w:val="both"/>
        <w:rPr>
          <w:rFonts w:hint="eastAsia"/>
          <w:lang w:val="en-US" w:eastAsia="zh-CN"/>
        </w:rPr>
      </w:pPr>
      <w:r>
        <w:rPr>
          <w:rFonts w:hint="eastAsia"/>
          <w:b/>
          <w:bCs/>
          <w:lang w:val="en-US" w:eastAsia="zh-CN"/>
        </w:rPr>
        <w:t>Option 2: If use different test configuration tables, if mobile VSAT UE supports both NGSO and GSO, the GSO-based test cases can be skipped if the UE passes NGSO-based test cases.</w:t>
      </w:r>
    </w:p>
    <w:p>
      <w:pPr>
        <w:pStyle w:val="77"/>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performance requirements on Ku band NTN</w:t>
      </w:r>
      <w:r>
        <w:rPr>
          <w:rFonts w:eastAsia="宋体"/>
          <w:lang w:eastAsia="zh-CN"/>
        </w:rPr>
        <w:t>.</w:t>
      </w:r>
    </w:p>
    <w:p>
      <w:pPr>
        <w:spacing w:beforeLines="50" w:after="120"/>
        <w:jc w:val="both"/>
        <w:rPr>
          <w:rFonts w:hint="eastAsia"/>
          <w:b/>
          <w:bCs/>
          <w:lang w:val="en-US" w:eastAsia="zh-CN"/>
        </w:rPr>
      </w:pPr>
      <w:r>
        <w:rPr>
          <w:rFonts w:hint="eastAsia"/>
          <w:b/>
          <w:bCs/>
          <w:lang w:val="en-US" w:eastAsia="zh-CN"/>
        </w:rPr>
        <w:t>Proposal 1: The following measurement accuracy requirements shall be considered:</w:t>
      </w:r>
    </w:p>
    <w:p>
      <w:pPr>
        <w:numPr>
          <w:ilvl w:val="0"/>
          <w:numId w:val="4"/>
        </w:numPr>
        <w:spacing w:beforeLines="50" w:after="120"/>
        <w:ind w:left="420" w:hanging="420"/>
        <w:jc w:val="both"/>
        <w:rPr>
          <w:rFonts w:hint="eastAsia"/>
          <w:b/>
          <w:bCs/>
          <w:lang w:val="en-US" w:eastAsia="zh-CN"/>
        </w:rPr>
      </w:pPr>
      <w:r>
        <w:rPr>
          <w:rFonts w:hint="eastAsia"/>
          <w:b/>
          <w:bCs/>
          <w:lang w:val="en-US" w:eastAsia="zh-CN"/>
        </w:rPr>
        <w:t xml:space="preserve">Intra-frequency RSRP accuracy requirements </w:t>
      </w:r>
    </w:p>
    <w:p>
      <w:pPr>
        <w:numPr>
          <w:ilvl w:val="0"/>
          <w:numId w:val="4"/>
        </w:numPr>
        <w:spacing w:beforeLines="50" w:after="120"/>
        <w:ind w:left="420" w:hanging="420"/>
        <w:jc w:val="both"/>
        <w:rPr>
          <w:rFonts w:hint="eastAsia"/>
          <w:b/>
          <w:bCs/>
          <w:lang w:val="en-US" w:eastAsia="zh-CN"/>
        </w:rPr>
      </w:pPr>
      <w:r>
        <w:rPr>
          <w:rFonts w:hint="eastAsia"/>
          <w:b/>
          <w:bCs/>
          <w:lang w:val="en-US" w:eastAsia="zh-CN"/>
        </w:rPr>
        <w:t xml:space="preserve">Inter-frequency RSRP accuracy requirements </w:t>
      </w:r>
    </w:p>
    <w:p>
      <w:pPr>
        <w:numPr>
          <w:ilvl w:val="0"/>
          <w:numId w:val="4"/>
        </w:numPr>
        <w:spacing w:beforeLines="50" w:after="120"/>
        <w:ind w:left="420" w:hanging="420"/>
        <w:jc w:val="both"/>
        <w:rPr>
          <w:rFonts w:hint="eastAsia"/>
          <w:b/>
          <w:bCs/>
          <w:lang w:val="en-US" w:eastAsia="zh-CN"/>
        </w:rPr>
      </w:pPr>
      <w:r>
        <w:rPr>
          <w:rFonts w:hint="eastAsia"/>
          <w:b/>
          <w:bCs/>
          <w:lang w:val="en-US" w:eastAsia="zh-CN"/>
        </w:rPr>
        <w:t xml:space="preserve">Intra-frequency RSRQ accuracy requirements </w:t>
      </w:r>
    </w:p>
    <w:p>
      <w:pPr>
        <w:numPr>
          <w:ilvl w:val="0"/>
          <w:numId w:val="4"/>
        </w:numPr>
        <w:spacing w:beforeLines="50" w:after="120"/>
        <w:ind w:left="420" w:hanging="420"/>
        <w:jc w:val="both"/>
        <w:rPr>
          <w:rFonts w:hint="eastAsia"/>
          <w:b/>
          <w:bCs/>
          <w:lang w:val="en-US" w:eastAsia="zh-CN"/>
        </w:rPr>
      </w:pPr>
      <w:r>
        <w:rPr>
          <w:rFonts w:hint="eastAsia"/>
          <w:b/>
          <w:bCs/>
          <w:lang w:val="en-US" w:eastAsia="zh-CN"/>
        </w:rPr>
        <w:t xml:space="preserve">Inter-frequency RSRQ accuracy requirements </w:t>
      </w:r>
    </w:p>
    <w:p>
      <w:pPr>
        <w:numPr>
          <w:ilvl w:val="0"/>
          <w:numId w:val="4"/>
        </w:numPr>
        <w:spacing w:beforeLines="50" w:after="120"/>
        <w:ind w:left="420" w:hanging="420"/>
        <w:jc w:val="both"/>
        <w:rPr>
          <w:rFonts w:hint="eastAsia"/>
          <w:b/>
          <w:bCs/>
          <w:lang w:val="en-US" w:eastAsia="zh-CN"/>
        </w:rPr>
      </w:pPr>
      <w:r>
        <w:rPr>
          <w:rFonts w:hint="eastAsia"/>
          <w:b/>
          <w:bCs/>
          <w:lang w:val="en-US" w:eastAsia="zh-CN"/>
        </w:rPr>
        <w:t xml:space="preserve">Intra-frequency SINR accuracy requirements </w:t>
      </w:r>
    </w:p>
    <w:p>
      <w:pPr>
        <w:numPr>
          <w:ilvl w:val="0"/>
          <w:numId w:val="4"/>
        </w:numPr>
        <w:spacing w:beforeLines="50" w:after="120"/>
        <w:ind w:left="420" w:hanging="420"/>
        <w:jc w:val="both"/>
        <w:rPr>
          <w:rFonts w:hint="eastAsia"/>
          <w:b/>
          <w:bCs/>
          <w:lang w:val="en-US" w:eastAsia="zh-CN"/>
        </w:rPr>
      </w:pPr>
      <w:r>
        <w:rPr>
          <w:rFonts w:hint="eastAsia"/>
          <w:b/>
          <w:bCs/>
          <w:lang w:val="en-US" w:eastAsia="zh-CN"/>
        </w:rPr>
        <w:t>Inter-frequency SINR accuracy requirements</w:t>
      </w:r>
    </w:p>
    <w:p>
      <w:pPr>
        <w:numPr>
          <w:ilvl w:val="0"/>
          <w:numId w:val="4"/>
        </w:numPr>
        <w:spacing w:beforeLines="50" w:after="120"/>
        <w:ind w:left="420" w:hanging="420"/>
        <w:jc w:val="both"/>
        <w:rPr>
          <w:rFonts w:hint="eastAsia"/>
          <w:b/>
          <w:bCs/>
          <w:lang w:val="en-US" w:eastAsia="zh-CN"/>
        </w:rPr>
      </w:pPr>
      <w:r>
        <w:rPr>
          <w:rFonts w:hint="eastAsia"/>
          <w:b/>
          <w:bCs/>
          <w:lang w:val="en-US" w:eastAsia="zh-CN"/>
        </w:rPr>
        <w:t>L1-RSRP accuracy requirements</w:t>
      </w:r>
    </w:p>
    <w:p>
      <w:pPr>
        <w:spacing w:beforeLines="50" w:after="120"/>
        <w:jc w:val="both"/>
        <w:rPr>
          <w:rFonts w:hint="eastAsia"/>
          <w:b/>
          <w:bCs/>
          <w:lang w:val="en-US" w:eastAsia="zh-CN"/>
        </w:rPr>
      </w:pPr>
      <w:r>
        <w:rPr>
          <w:rFonts w:hint="eastAsia"/>
          <w:b/>
          <w:bCs/>
          <w:lang w:val="en-US" w:eastAsia="zh-CN"/>
        </w:rPr>
        <w:t>Observation 1: The requirements defined for FR2-NTN apply for VSAT working in FR1-NTN including accuracy requirements.</w:t>
      </w:r>
    </w:p>
    <w:p>
      <w:pPr>
        <w:spacing w:beforeLines="50" w:after="120"/>
        <w:jc w:val="both"/>
        <w:rPr>
          <w:rFonts w:hint="eastAsia"/>
          <w:b/>
          <w:bCs/>
          <w:lang w:val="en-US" w:eastAsia="zh-CN"/>
        </w:rPr>
      </w:pPr>
      <w:r>
        <w:rPr>
          <w:rFonts w:hint="eastAsia"/>
          <w:b/>
          <w:bCs/>
          <w:lang w:val="en-US" w:eastAsia="zh-CN"/>
        </w:rPr>
        <w:t>Proposal 2: The legacy measurement accuracy requirements for Ka band NTN shall be reused for Ku band FR1-NTN and FR2-NTN with different numerologies agreed in core part..</w:t>
      </w:r>
    </w:p>
    <w:p>
      <w:pPr>
        <w:spacing w:beforeLines="50" w:after="120"/>
        <w:jc w:val="both"/>
        <w:rPr>
          <w:rFonts w:hint="eastAsia"/>
          <w:b/>
          <w:bCs/>
          <w:lang w:val="en-US" w:eastAsia="zh-CN"/>
        </w:rPr>
      </w:pPr>
      <w:r>
        <w:rPr>
          <w:rFonts w:hint="eastAsia"/>
          <w:b/>
          <w:bCs/>
          <w:lang w:val="en-US" w:eastAsia="zh-CN"/>
        </w:rPr>
        <w:t xml:space="preserve">Proposal 3: </w:t>
      </w:r>
    </w:p>
    <w:p>
      <w:pPr>
        <w:spacing w:beforeLines="50" w:after="120"/>
        <w:jc w:val="both"/>
        <w:rPr>
          <w:rFonts w:hint="eastAsia"/>
          <w:b/>
          <w:bCs/>
          <w:lang w:val="en-US" w:eastAsia="zh-CN"/>
        </w:rPr>
      </w:pPr>
      <w:r>
        <w:rPr>
          <w:rFonts w:hint="eastAsia"/>
          <w:b/>
          <w:bCs/>
          <w:lang w:val="en-US" w:eastAsia="zh-CN"/>
        </w:rPr>
        <w:t>For how to capture the measurement accuracy requirements, RAN4 shall add FR1 numerology in FR2-NTN accuracy requirements table.</w:t>
      </w:r>
    </w:p>
    <w:p>
      <w:pPr>
        <w:spacing w:beforeLines="50" w:after="120"/>
        <w:jc w:val="both"/>
        <w:rPr>
          <w:rFonts w:hint="eastAsia"/>
          <w:b/>
          <w:bCs/>
          <w:lang w:val="en-US" w:eastAsia="zh-CN"/>
        </w:rPr>
      </w:pPr>
      <w:r>
        <w:rPr>
          <w:rFonts w:hint="eastAsia"/>
          <w:b/>
          <w:bCs/>
          <w:lang w:val="en-US" w:eastAsia="zh-CN"/>
        </w:rPr>
        <w:t>For where to capture the measurement accuracy requirements, RAN4 shall use the existing measurement accuracy requirements for FR2-NTN instead of introducing new clause.</w:t>
      </w:r>
    </w:p>
    <w:p>
      <w:pPr>
        <w:spacing w:beforeLines="50" w:after="120"/>
        <w:jc w:val="both"/>
        <w:rPr>
          <w:rFonts w:hint="eastAsia"/>
          <w:b/>
          <w:bCs/>
          <w:lang w:val="en-US" w:eastAsia="zh-CN"/>
        </w:rPr>
      </w:pPr>
      <w:r>
        <w:rPr>
          <w:rFonts w:hint="eastAsia"/>
          <w:b/>
          <w:bCs/>
          <w:lang w:val="en-US" w:eastAsia="zh-CN"/>
        </w:rPr>
        <w:t>Proposal 4: For test principle and setups, the testing related to satellite access defined in A.3.36 with FR2 can be a reference.</w:t>
      </w:r>
    </w:p>
    <w:p>
      <w:pPr>
        <w:numPr>
          <w:ilvl w:val="-1"/>
          <w:numId w:val="0"/>
        </w:numPr>
        <w:spacing w:beforeLines="50" w:after="120"/>
        <w:jc w:val="both"/>
        <w:rPr>
          <w:rFonts w:hint="eastAsia"/>
          <w:b/>
          <w:bCs/>
          <w:lang w:val="en-US" w:eastAsia="zh-CN"/>
        </w:rPr>
      </w:pPr>
      <w:r>
        <w:rPr>
          <w:rFonts w:hint="eastAsia"/>
          <w:b/>
          <w:bCs/>
          <w:lang w:val="en-US" w:eastAsia="zh-CN"/>
        </w:rPr>
        <w:t>Proposal 5: For test configuration,</w:t>
      </w:r>
    </w:p>
    <w:p>
      <w:pPr>
        <w:numPr>
          <w:ilvl w:val="1"/>
          <w:numId w:val="0"/>
        </w:numPr>
        <w:spacing w:beforeLines="50" w:after="120"/>
        <w:ind w:leftChars="100"/>
        <w:jc w:val="both"/>
        <w:rPr>
          <w:rFonts w:hint="eastAsia"/>
          <w:b/>
          <w:bCs/>
          <w:lang w:val="en-US" w:eastAsia="zh-CN"/>
        </w:rPr>
      </w:pPr>
      <w:r>
        <w:rPr>
          <w:rFonts w:hint="eastAsia"/>
          <w:b/>
          <w:bCs/>
          <w:lang w:val="en-US" w:eastAsia="zh-CN"/>
        </w:rPr>
        <w:t>Option 1: If add different SCS in one test configuration table, if mobile VSAT UE supports both GSO and NGSO, it is at least to pass two test config with FR1 numerology and FR numerology, the GSO-based test cases can be skipped if the UE passes NGSO-based test cases.</w:t>
      </w:r>
    </w:p>
    <w:p>
      <w:pPr>
        <w:numPr>
          <w:ilvl w:val="1"/>
          <w:numId w:val="0"/>
        </w:numPr>
        <w:spacing w:beforeLines="50" w:after="120"/>
        <w:ind w:leftChars="100"/>
        <w:jc w:val="both"/>
        <w:rPr>
          <w:rFonts w:hint="eastAsia"/>
          <w:lang w:val="en-US" w:eastAsia="zh-CN"/>
        </w:rPr>
      </w:pPr>
      <w:r>
        <w:rPr>
          <w:rFonts w:hint="eastAsia"/>
          <w:b/>
          <w:bCs/>
          <w:lang w:val="en-US" w:eastAsia="zh-CN"/>
        </w:rPr>
        <w:t>Option 2: If use different test configuration tables, if mobile VSAT UE supports both NGSO and GSO, the GSO-based test cases can be skipped if the UE passes NGSO-based test cases.</w:t>
      </w:r>
    </w:p>
    <w:p>
      <w:pPr>
        <w:spacing w:before="120" w:after="120"/>
        <w:rPr>
          <w:rFonts w:eastAsia="宋体"/>
          <w:lang w:eastAsia="zh-CN"/>
        </w:rPr>
      </w:pPr>
    </w:p>
    <w:p>
      <w:pPr>
        <w:pStyle w:val="77"/>
        <w:numPr>
          <w:ilvl w:val="0"/>
          <w:numId w:val="0"/>
        </w:numPr>
        <w:ind w:left="360" w:hanging="360"/>
        <w:rPr>
          <w:lang w:val="en-US"/>
        </w:rPr>
      </w:pPr>
      <w:r>
        <w:rPr>
          <w:rFonts w:hint="eastAsia"/>
          <w:lang w:val="en-US" w:eastAsia="zh-CN"/>
        </w:rPr>
        <w:t xml:space="preserve">4 </w:t>
      </w:r>
      <w:r>
        <w:rPr>
          <w:lang w:val="en-US"/>
        </w:rPr>
        <w:t>References</w:t>
      </w:r>
    </w:p>
    <w:p>
      <w:pPr>
        <w:numPr>
          <w:ilvl w:val="0"/>
          <w:numId w:val="6"/>
        </w:numPr>
        <w:rPr>
          <w:lang w:val="en-US" w:eastAsia="zh-CN"/>
        </w:rPr>
      </w:pPr>
      <w:bookmarkStart w:id="2" w:name="_Ref114500673"/>
      <w:bookmarkEnd w:id="2"/>
      <w:r>
        <w:rPr>
          <w:rFonts w:hint="eastAsia"/>
          <w:lang w:val="en-US" w:eastAsia="zh-CN"/>
        </w:rPr>
        <w:t>TS38.133</w:t>
      </w:r>
    </w:p>
    <w:p>
      <w:pPr>
        <w:rPr>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v4.2.0">
    <w:altName w:val="微软雅黑"/>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5718AD"/>
    <w:multiLevelType w:val="singleLevel"/>
    <w:tmpl w:val="BF5718AD"/>
    <w:lvl w:ilvl="0" w:tentative="0">
      <w:start w:val="1"/>
      <w:numFmt w:val="decimal"/>
      <w:suff w:val="space"/>
      <w:lvlText w:val="[%1]"/>
      <w:lvlJc w:val="left"/>
    </w:lvl>
  </w:abstractNum>
  <w:abstractNum w:abstractNumId="1">
    <w:nsid w:val="2CD35FB2"/>
    <w:multiLevelType w:val="singleLevel"/>
    <w:tmpl w:val="2CD35FB2"/>
    <w:lvl w:ilvl="0" w:tentative="0">
      <w:start w:val="1"/>
      <w:numFmt w:val="bullet"/>
      <w:lvlText w:val=""/>
      <w:lvlJc w:val="left"/>
      <w:pPr>
        <w:ind w:left="420" w:hanging="420"/>
      </w:pPr>
      <w:rPr>
        <w:rFonts w:hint="default" w:ascii="Wingdings" w:hAnsi="Wingdings"/>
      </w:rPr>
    </w:lvl>
  </w:abstractNum>
  <w:abstractNum w:abstractNumId="2">
    <w:nsid w:val="313079AA"/>
    <w:multiLevelType w:val="singleLevel"/>
    <w:tmpl w:val="313079AA"/>
    <w:lvl w:ilvl="0" w:tentative="0">
      <w:start w:val="1"/>
      <w:numFmt w:val="decimal"/>
      <w:suff w:val="space"/>
      <w:lvlText w:val="%1."/>
      <w:lvlJc w:val="left"/>
    </w:lvl>
  </w:abstractNum>
  <w:abstractNum w:abstractNumId="3">
    <w:nsid w:val="4D6E3167"/>
    <w:multiLevelType w:val="multilevel"/>
    <w:tmpl w:val="4D6E3167"/>
    <w:lvl w:ilvl="0" w:tentative="0">
      <w:start w:val="1"/>
      <w:numFmt w:val="decimal"/>
      <w:pStyle w:val="80"/>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4">
    <w:nsid w:val="665C217B"/>
    <w:multiLevelType w:val="multilevel"/>
    <w:tmpl w:val="665C217B"/>
    <w:lvl w:ilvl="0" w:tentative="0">
      <w:start w:val="1"/>
      <w:numFmt w:val="decimal"/>
      <w:pStyle w:val="77"/>
      <w:lvlText w:val="%1"/>
      <w:lvlJc w:val="left"/>
      <w:pPr>
        <w:ind w:left="360" w:hanging="360"/>
      </w:pPr>
      <w:rPr>
        <w:rFonts w:hint="default"/>
      </w:rPr>
    </w:lvl>
    <w:lvl w:ilvl="1" w:tentative="0">
      <w:start w:val="1"/>
      <w:numFmt w:val="decimal"/>
      <w:pStyle w:val="79"/>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74203CE1"/>
    <w:multiLevelType w:val="multilevel"/>
    <w:tmpl w:val="74203CE1"/>
    <w:lvl w:ilvl="0" w:tentative="0">
      <w:start w:val="5"/>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3"/>
  </w:num>
  <w:num w:numId="3">
    <w:abstractNumId w:val="5"/>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455F6"/>
    <w:rsid w:val="00051834"/>
    <w:rsid w:val="00054A22"/>
    <w:rsid w:val="00056A26"/>
    <w:rsid w:val="00062023"/>
    <w:rsid w:val="000655A6"/>
    <w:rsid w:val="00080512"/>
    <w:rsid w:val="00096C16"/>
    <w:rsid w:val="000A5031"/>
    <w:rsid w:val="000C47C3"/>
    <w:rsid w:val="000D58AB"/>
    <w:rsid w:val="000F1C36"/>
    <w:rsid w:val="00100138"/>
    <w:rsid w:val="0011507D"/>
    <w:rsid w:val="00133525"/>
    <w:rsid w:val="00147E01"/>
    <w:rsid w:val="00152788"/>
    <w:rsid w:val="00157C70"/>
    <w:rsid w:val="001618DF"/>
    <w:rsid w:val="00167FF6"/>
    <w:rsid w:val="00171963"/>
    <w:rsid w:val="00172A27"/>
    <w:rsid w:val="0017640F"/>
    <w:rsid w:val="001A4C42"/>
    <w:rsid w:val="001A7420"/>
    <w:rsid w:val="001B3016"/>
    <w:rsid w:val="001B6637"/>
    <w:rsid w:val="001C21C3"/>
    <w:rsid w:val="001D02C2"/>
    <w:rsid w:val="001F0C1D"/>
    <w:rsid w:val="001F1132"/>
    <w:rsid w:val="001F168B"/>
    <w:rsid w:val="002031EC"/>
    <w:rsid w:val="0021140F"/>
    <w:rsid w:val="00213552"/>
    <w:rsid w:val="00224320"/>
    <w:rsid w:val="002347A2"/>
    <w:rsid w:val="00261B58"/>
    <w:rsid w:val="00266786"/>
    <w:rsid w:val="002675F0"/>
    <w:rsid w:val="002840A1"/>
    <w:rsid w:val="0029118B"/>
    <w:rsid w:val="00295980"/>
    <w:rsid w:val="002B6339"/>
    <w:rsid w:val="002B6ADF"/>
    <w:rsid w:val="002E00EE"/>
    <w:rsid w:val="00300E2F"/>
    <w:rsid w:val="00306508"/>
    <w:rsid w:val="003071CE"/>
    <w:rsid w:val="003172DC"/>
    <w:rsid w:val="0033338C"/>
    <w:rsid w:val="0035462D"/>
    <w:rsid w:val="00366AB5"/>
    <w:rsid w:val="003765B8"/>
    <w:rsid w:val="00384CDA"/>
    <w:rsid w:val="003A71A1"/>
    <w:rsid w:val="003C0FB6"/>
    <w:rsid w:val="003C3971"/>
    <w:rsid w:val="003D429A"/>
    <w:rsid w:val="00401503"/>
    <w:rsid w:val="00423334"/>
    <w:rsid w:val="00424F81"/>
    <w:rsid w:val="00426060"/>
    <w:rsid w:val="004345EC"/>
    <w:rsid w:val="00441014"/>
    <w:rsid w:val="0044364B"/>
    <w:rsid w:val="004452F0"/>
    <w:rsid w:val="00446E94"/>
    <w:rsid w:val="00451FBA"/>
    <w:rsid w:val="00454360"/>
    <w:rsid w:val="00465515"/>
    <w:rsid w:val="00480951"/>
    <w:rsid w:val="004929E3"/>
    <w:rsid w:val="004B2A74"/>
    <w:rsid w:val="004C61CE"/>
    <w:rsid w:val="004D3578"/>
    <w:rsid w:val="004E0DAE"/>
    <w:rsid w:val="004E213A"/>
    <w:rsid w:val="004F0988"/>
    <w:rsid w:val="004F3340"/>
    <w:rsid w:val="00500D81"/>
    <w:rsid w:val="00524708"/>
    <w:rsid w:val="0053388B"/>
    <w:rsid w:val="00535487"/>
    <w:rsid w:val="00535773"/>
    <w:rsid w:val="005378BE"/>
    <w:rsid w:val="005430CF"/>
    <w:rsid w:val="00543E6C"/>
    <w:rsid w:val="00546D44"/>
    <w:rsid w:val="0056254B"/>
    <w:rsid w:val="005639EE"/>
    <w:rsid w:val="00565087"/>
    <w:rsid w:val="0057305F"/>
    <w:rsid w:val="005739AF"/>
    <w:rsid w:val="00586E2E"/>
    <w:rsid w:val="00597B11"/>
    <w:rsid w:val="005A706A"/>
    <w:rsid w:val="005B27D3"/>
    <w:rsid w:val="005B4CAB"/>
    <w:rsid w:val="005B5358"/>
    <w:rsid w:val="005B63ED"/>
    <w:rsid w:val="005C103E"/>
    <w:rsid w:val="005C6A8E"/>
    <w:rsid w:val="005D1AC4"/>
    <w:rsid w:val="005D2E01"/>
    <w:rsid w:val="005D7526"/>
    <w:rsid w:val="005E3467"/>
    <w:rsid w:val="005E4BB2"/>
    <w:rsid w:val="005F0C0C"/>
    <w:rsid w:val="006027EB"/>
    <w:rsid w:val="00602AEA"/>
    <w:rsid w:val="006114EB"/>
    <w:rsid w:val="00614FDF"/>
    <w:rsid w:val="00631B7B"/>
    <w:rsid w:val="0063543D"/>
    <w:rsid w:val="0063585B"/>
    <w:rsid w:val="00647114"/>
    <w:rsid w:val="00664948"/>
    <w:rsid w:val="00675027"/>
    <w:rsid w:val="00677A30"/>
    <w:rsid w:val="00686DCA"/>
    <w:rsid w:val="0069600B"/>
    <w:rsid w:val="006A323F"/>
    <w:rsid w:val="006A6F17"/>
    <w:rsid w:val="006B30D0"/>
    <w:rsid w:val="006C1584"/>
    <w:rsid w:val="006C3D95"/>
    <w:rsid w:val="006D340D"/>
    <w:rsid w:val="006D65CF"/>
    <w:rsid w:val="006E5C86"/>
    <w:rsid w:val="006F2905"/>
    <w:rsid w:val="006F4D92"/>
    <w:rsid w:val="006F61D7"/>
    <w:rsid w:val="00701116"/>
    <w:rsid w:val="00713C44"/>
    <w:rsid w:val="00714634"/>
    <w:rsid w:val="00734A5B"/>
    <w:rsid w:val="0074026F"/>
    <w:rsid w:val="007429F6"/>
    <w:rsid w:val="00743C79"/>
    <w:rsid w:val="00744E76"/>
    <w:rsid w:val="00774DA4"/>
    <w:rsid w:val="00781F0F"/>
    <w:rsid w:val="007A7AA8"/>
    <w:rsid w:val="007B600E"/>
    <w:rsid w:val="007B7CA6"/>
    <w:rsid w:val="007F0F4A"/>
    <w:rsid w:val="007F7D67"/>
    <w:rsid w:val="008006C7"/>
    <w:rsid w:val="008028A4"/>
    <w:rsid w:val="008037D8"/>
    <w:rsid w:val="00830747"/>
    <w:rsid w:val="0083684A"/>
    <w:rsid w:val="008768CA"/>
    <w:rsid w:val="008839BA"/>
    <w:rsid w:val="00885367"/>
    <w:rsid w:val="008A6463"/>
    <w:rsid w:val="008B25EC"/>
    <w:rsid w:val="008C384C"/>
    <w:rsid w:val="008D7426"/>
    <w:rsid w:val="008E06DF"/>
    <w:rsid w:val="0090271F"/>
    <w:rsid w:val="00902E23"/>
    <w:rsid w:val="0090360B"/>
    <w:rsid w:val="009114D7"/>
    <w:rsid w:val="0091348E"/>
    <w:rsid w:val="00917CCB"/>
    <w:rsid w:val="00931D89"/>
    <w:rsid w:val="00942EC2"/>
    <w:rsid w:val="00957601"/>
    <w:rsid w:val="00973023"/>
    <w:rsid w:val="0098113E"/>
    <w:rsid w:val="009848EA"/>
    <w:rsid w:val="00985F99"/>
    <w:rsid w:val="009C3E5A"/>
    <w:rsid w:val="009C4E67"/>
    <w:rsid w:val="009F37B7"/>
    <w:rsid w:val="00A02066"/>
    <w:rsid w:val="00A02D62"/>
    <w:rsid w:val="00A10F02"/>
    <w:rsid w:val="00A164B4"/>
    <w:rsid w:val="00A242C3"/>
    <w:rsid w:val="00A26956"/>
    <w:rsid w:val="00A27486"/>
    <w:rsid w:val="00A33562"/>
    <w:rsid w:val="00A411A4"/>
    <w:rsid w:val="00A41BBD"/>
    <w:rsid w:val="00A43C4F"/>
    <w:rsid w:val="00A44C6A"/>
    <w:rsid w:val="00A52507"/>
    <w:rsid w:val="00A53724"/>
    <w:rsid w:val="00A56066"/>
    <w:rsid w:val="00A73129"/>
    <w:rsid w:val="00A82346"/>
    <w:rsid w:val="00A92BA1"/>
    <w:rsid w:val="00A95C70"/>
    <w:rsid w:val="00AA00BB"/>
    <w:rsid w:val="00AC575F"/>
    <w:rsid w:val="00AC6BC6"/>
    <w:rsid w:val="00AD1CB4"/>
    <w:rsid w:val="00AE0975"/>
    <w:rsid w:val="00AE65E2"/>
    <w:rsid w:val="00B0085D"/>
    <w:rsid w:val="00B071E4"/>
    <w:rsid w:val="00B15449"/>
    <w:rsid w:val="00B428A0"/>
    <w:rsid w:val="00B43EC0"/>
    <w:rsid w:val="00B66DD7"/>
    <w:rsid w:val="00B67352"/>
    <w:rsid w:val="00B81824"/>
    <w:rsid w:val="00B8433E"/>
    <w:rsid w:val="00B93086"/>
    <w:rsid w:val="00B93FB3"/>
    <w:rsid w:val="00BA19ED"/>
    <w:rsid w:val="00BA4B8D"/>
    <w:rsid w:val="00BB19C2"/>
    <w:rsid w:val="00BC0519"/>
    <w:rsid w:val="00BC0ECB"/>
    <w:rsid w:val="00BC0F7D"/>
    <w:rsid w:val="00BC7EA1"/>
    <w:rsid w:val="00BD7D31"/>
    <w:rsid w:val="00BE1AE4"/>
    <w:rsid w:val="00BE3255"/>
    <w:rsid w:val="00BF0042"/>
    <w:rsid w:val="00BF128E"/>
    <w:rsid w:val="00C074DD"/>
    <w:rsid w:val="00C1496A"/>
    <w:rsid w:val="00C17734"/>
    <w:rsid w:val="00C33079"/>
    <w:rsid w:val="00C41F2A"/>
    <w:rsid w:val="00C42CDD"/>
    <w:rsid w:val="00C45231"/>
    <w:rsid w:val="00C72833"/>
    <w:rsid w:val="00C80F1D"/>
    <w:rsid w:val="00C93F40"/>
    <w:rsid w:val="00CA3D0C"/>
    <w:rsid w:val="00CB0749"/>
    <w:rsid w:val="00CC0A5E"/>
    <w:rsid w:val="00CC4BC3"/>
    <w:rsid w:val="00CD2E3D"/>
    <w:rsid w:val="00CD381C"/>
    <w:rsid w:val="00CF7FD3"/>
    <w:rsid w:val="00D06813"/>
    <w:rsid w:val="00D12154"/>
    <w:rsid w:val="00D12A57"/>
    <w:rsid w:val="00D221D0"/>
    <w:rsid w:val="00D231F7"/>
    <w:rsid w:val="00D24228"/>
    <w:rsid w:val="00D34121"/>
    <w:rsid w:val="00D544DE"/>
    <w:rsid w:val="00D57972"/>
    <w:rsid w:val="00D626AC"/>
    <w:rsid w:val="00D6299F"/>
    <w:rsid w:val="00D644EA"/>
    <w:rsid w:val="00D675A9"/>
    <w:rsid w:val="00D738D6"/>
    <w:rsid w:val="00D755EB"/>
    <w:rsid w:val="00D76048"/>
    <w:rsid w:val="00D86B13"/>
    <w:rsid w:val="00D87E00"/>
    <w:rsid w:val="00D9134D"/>
    <w:rsid w:val="00DA7A03"/>
    <w:rsid w:val="00DB1818"/>
    <w:rsid w:val="00DC309B"/>
    <w:rsid w:val="00DC4DA2"/>
    <w:rsid w:val="00DD4C17"/>
    <w:rsid w:val="00DD74A5"/>
    <w:rsid w:val="00DE0AB6"/>
    <w:rsid w:val="00DF2B1F"/>
    <w:rsid w:val="00DF62CD"/>
    <w:rsid w:val="00E1096E"/>
    <w:rsid w:val="00E16509"/>
    <w:rsid w:val="00E44582"/>
    <w:rsid w:val="00E67D16"/>
    <w:rsid w:val="00E73DA7"/>
    <w:rsid w:val="00E75B0A"/>
    <w:rsid w:val="00E77645"/>
    <w:rsid w:val="00E82959"/>
    <w:rsid w:val="00E8433B"/>
    <w:rsid w:val="00E84E43"/>
    <w:rsid w:val="00EA15B0"/>
    <w:rsid w:val="00EA5EA7"/>
    <w:rsid w:val="00EC4A25"/>
    <w:rsid w:val="00EF13CA"/>
    <w:rsid w:val="00EF450B"/>
    <w:rsid w:val="00F025A2"/>
    <w:rsid w:val="00F041A0"/>
    <w:rsid w:val="00F04712"/>
    <w:rsid w:val="00F13360"/>
    <w:rsid w:val="00F22EC7"/>
    <w:rsid w:val="00F27602"/>
    <w:rsid w:val="00F325C8"/>
    <w:rsid w:val="00F51A04"/>
    <w:rsid w:val="00F653B8"/>
    <w:rsid w:val="00F76708"/>
    <w:rsid w:val="00F80376"/>
    <w:rsid w:val="00F80895"/>
    <w:rsid w:val="00F81ABF"/>
    <w:rsid w:val="00F9008D"/>
    <w:rsid w:val="00FA1266"/>
    <w:rsid w:val="00FA4E78"/>
    <w:rsid w:val="00FC1192"/>
    <w:rsid w:val="00FC2DB4"/>
    <w:rsid w:val="00FC3B87"/>
    <w:rsid w:val="011629BA"/>
    <w:rsid w:val="01295F0D"/>
    <w:rsid w:val="012E2EF4"/>
    <w:rsid w:val="01374379"/>
    <w:rsid w:val="01410DC2"/>
    <w:rsid w:val="01536085"/>
    <w:rsid w:val="0158163D"/>
    <w:rsid w:val="01652E48"/>
    <w:rsid w:val="01862D0E"/>
    <w:rsid w:val="018F1743"/>
    <w:rsid w:val="018F25C8"/>
    <w:rsid w:val="01906A5B"/>
    <w:rsid w:val="01907C39"/>
    <w:rsid w:val="019F41BD"/>
    <w:rsid w:val="01AF091E"/>
    <w:rsid w:val="01B176B7"/>
    <w:rsid w:val="01BE3BEC"/>
    <w:rsid w:val="01CE0603"/>
    <w:rsid w:val="01D51FE8"/>
    <w:rsid w:val="01D55A0F"/>
    <w:rsid w:val="01E70C97"/>
    <w:rsid w:val="01EA15CF"/>
    <w:rsid w:val="021447E9"/>
    <w:rsid w:val="021951FF"/>
    <w:rsid w:val="023A59BC"/>
    <w:rsid w:val="02402E7C"/>
    <w:rsid w:val="02505886"/>
    <w:rsid w:val="025A5C68"/>
    <w:rsid w:val="027C74A2"/>
    <w:rsid w:val="028256A4"/>
    <w:rsid w:val="029011A2"/>
    <w:rsid w:val="02A03627"/>
    <w:rsid w:val="02A9554A"/>
    <w:rsid w:val="02B66382"/>
    <w:rsid w:val="02D45932"/>
    <w:rsid w:val="02D60658"/>
    <w:rsid w:val="02DB4554"/>
    <w:rsid w:val="02DD1CD4"/>
    <w:rsid w:val="02DF0D66"/>
    <w:rsid w:val="02EC4357"/>
    <w:rsid w:val="02EE768C"/>
    <w:rsid w:val="02FA1082"/>
    <w:rsid w:val="031778E0"/>
    <w:rsid w:val="0327096F"/>
    <w:rsid w:val="032737B0"/>
    <w:rsid w:val="032A315A"/>
    <w:rsid w:val="033C405D"/>
    <w:rsid w:val="033F707D"/>
    <w:rsid w:val="034339E7"/>
    <w:rsid w:val="03481CC2"/>
    <w:rsid w:val="034E163D"/>
    <w:rsid w:val="034F02E2"/>
    <w:rsid w:val="03572405"/>
    <w:rsid w:val="035D2A45"/>
    <w:rsid w:val="037709BE"/>
    <w:rsid w:val="037A1943"/>
    <w:rsid w:val="039A7993"/>
    <w:rsid w:val="03A372D5"/>
    <w:rsid w:val="03B04920"/>
    <w:rsid w:val="03BB7678"/>
    <w:rsid w:val="03BF3D9F"/>
    <w:rsid w:val="03BF72E7"/>
    <w:rsid w:val="03C80AD2"/>
    <w:rsid w:val="03C95263"/>
    <w:rsid w:val="03CA7EB2"/>
    <w:rsid w:val="03F0584F"/>
    <w:rsid w:val="03FB5627"/>
    <w:rsid w:val="04043AA5"/>
    <w:rsid w:val="04076F95"/>
    <w:rsid w:val="0409766A"/>
    <w:rsid w:val="041D49CF"/>
    <w:rsid w:val="04242812"/>
    <w:rsid w:val="042473E2"/>
    <w:rsid w:val="042476C6"/>
    <w:rsid w:val="042D44F5"/>
    <w:rsid w:val="042D5DD3"/>
    <w:rsid w:val="04383CC9"/>
    <w:rsid w:val="043C7B6F"/>
    <w:rsid w:val="043F68C7"/>
    <w:rsid w:val="04421BA4"/>
    <w:rsid w:val="044B12E0"/>
    <w:rsid w:val="04627036"/>
    <w:rsid w:val="046301A2"/>
    <w:rsid w:val="04732FB8"/>
    <w:rsid w:val="04871DE8"/>
    <w:rsid w:val="048F6485"/>
    <w:rsid w:val="04A12403"/>
    <w:rsid w:val="04A54083"/>
    <w:rsid w:val="04A815F7"/>
    <w:rsid w:val="04AB1CB5"/>
    <w:rsid w:val="04AD06A4"/>
    <w:rsid w:val="04BD1E3A"/>
    <w:rsid w:val="04C14495"/>
    <w:rsid w:val="04D5637C"/>
    <w:rsid w:val="04E91598"/>
    <w:rsid w:val="050C7718"/>
    <w:rsid w:val="0510745B"/>
    <w:rsid w:val="051350FA"/>
    <w:rsid w:val="05214F03"/>
    <w:rsid w:val="052553D6"/>
    <w:rsid w:val="052F7D10"/>
    <w:rsid w:val="054F5218"/>
    <w:rsid w:val="055E02FB"/>
    <w:rsid w:val="05630D81"/>
    <w:rsid w:val="056A3BE2"/>
    <w:rsid w:val="056F7561"/>
    <w:rsid w:val="058C4826"/>
    <w:rsid w:val="05AD05DE"/>
    <w:rsid w:val="05AE2916"/>
    <w:rsid w:val="05B1379B"/>
    <w:rsid w:val="05BD7874"/>
    <w:rsid w:val="05C20597"/>
    <w:rsid w:val="05C6466C"/>
    <w:rsid w:val="05D94925"/>
    <w:rsid w:val="05DB67C3"/>
    <w:rsid w:val="05E26248"/>
    <w:rsid w:val="05E60F0C"/>
    <w:rsid w:val="05F02736"/>
    <w:rsid w:val="05F61BB8"/>
    <w:rsid w:val="06026AB1"/>
    <w:rsid w:val="06043605"/>
    <w:rsid w:val="06095400"/>
    <w:rsid w:val="060D0D66"/>
    <w:rsid w:val="061F2E9B"/>
    <w:rsid w:val="062C2061"/>
    <w:rsid w:val="062D43AF"/>
    <w:rsid w:val="06311BAC"/>
    <w:rsid w:val="063409FE"/>
    <w:rsid w:val="06382368"/>
    <w:rsid w:val="06785C08"/>
    <w:rsid w:val="067C67DB"/>
    <w:rsid w:val="067F65D2"/>
    <w:rsid w:val="068158A4"/>
    <w:rsid w:val="06A05FC0"/>
    <w:rsid w:val="06AE1485"/>
    <w:rsid w:val="06AE70E8"/>
    <w:rsid w:val="06B24608"/>
    <w:rsid w:val="06DA7ACD"/>
    <w:rsid w:val="06DE4A31"/>
    <w:rsid w:val="06E54956"/>
    <w:rsid w:val="06F01EEF"/>
    <w:rsid w:val="07002189"/>
    <w:rsid w:val="07007517"/>
    <w:rsid w:val="07073FA3"/>
    <w:rsid w:val="070B52BC"/>
    <w:rsid w:val="070F1174"/>
    <w:rsid w:val="072F7FC6"/>
    <w:rsid w:val="0732584E"/>
    <w:rsid w:val="074109F4"/>
    <w:rsid w:val="07583E9D"/>
    <w:rsid w:val="075A7EF6"/>
    <w:rsid w:val="076202A2"/>
    <w:rsid w:val="076A2A73"/>
    <w:rsid w:val="07794834"/>
    <w:rsid w:val="07854A1B"/>
    <w:rsid w:val="078759D7"/>
    <w:rsid w:val="079D059C"/>
    <w:rsid w:val="07AE506C"/>
    <w:rsid w:val="07C05808"/>
    <w:rsid w:val="07C22AAD"/>
    <w:rsid w:val="07C3764D"/>
    <w:rsid w:val="07C644D1"/>
    <w:rsid w:val="07F66AC5"/>
    <w:rsid w:val="07FA2981"/>
    <w:rsid w:val="0809009E"/>
    <w:rsid w:val="081C1050"/>
    <w:rsid w:val="081F651B"/>
    <w:rsid w:val="0833764C"/>
    <w:rsid w:val="083F5297"/>
    <w:rsid w:val="084677D5"/>
    <w:rsid w:val="0848005E"/>
    <w:rsid w:val="084B1A9E"/>
    <w:rsid w:val="084C657D"/>
    <w:rsid w:val="084D12F0"/>
    <w:rsid w:val="086C30CB"/>
    <w:rsid w:val="087B6B61"/>
    <w:rsid w:val="087E40F9"/>
    <w:rsid w:val="087F5315"/>
    <w:rsid w:val="08876410"/>
    <w:rsid w:val="08916AA8"/>
    <w:rsid w:val="089667FA"/>
    <w:rsid w:val="089F664F"/>
    <w:rsid w:val="08A153B1"/>
    <w:rsid w:val="08A203F3"/>
    <w:rsid w:val="08AF00C1"/>
    <w:rsid w:val="08B531C0"/>
    <w:rsid w:val="08BB1078"/>
    <w:rsid w:val="08BD1F16"/>
    <w:rsid w:val="08BD5CAB"/>
    <w:rsid w:val="08C469E4"/>
    <w:rsid w:val="08D53034"/>
    <w:rsid w:val="08D726AC"/>
    <w:rsid w:val="08DA28B3"/>
    <w:rsid w:val="08DD2BEF"/>
    <w:rsid w:val="09001E3A"/>
    <w:rsid w:val="0903652D"/>
    <w:rsid w:val="090556C6"/>
    <w:rsid w:val="09104DCD"/>
    <w:rsid w:val="0913040F"/>
    <w:rsid w:val="094C40B4"/>
    <w:rsid w:val="095B4A62"/>
    <w:rsid w:val="095E44C6"/>
    <w:rsid w:val="09606948"/>
    <w:rsid w:val="096D7D04"/>
    <w:rsid w:val="096E0D4F"/>
    <w:rsid w:val="09736AE0"/>
    <w:rsid w:val="099C4684"/>
    <w:rsid w:val="09BB6580"/>
    <w:rsid w:val="09C01D0D"/>
    <w:rsid w:val="09D54231"/>
    <w:rsid w:val="09E30E5D"/>
    <w:rsid w:val="09F25D5F"/>
    <w:rsid w:val="09FD5B3B"/>
    <w:rsid w:val="0A1131EF"/>
    <w:rsid w:val="0A141797"/>
    <w:rsid w:val="0A143BE1"/>
    <w:rsid w:val="0A2069BF"/>
    <w:rsid w:val="0A220AAD"/>
    <w:rsid w:val="0A263E9C"/>
    <w:rsid w:val="0A286DFB"/>
    <w:rsid w:val="0A5002F7"/>
    <w:rsid w:val="0A501AA3"/>
    <w:rsid w:val="0A5164D1"/>
    <w:rsid w:val="0A5C7B97"/>
    <w:rsid w:val="0A5E0EE3"/>
    <w:rsid w:val="0A6C43DE"/>
    <w:rsid w:val="0AB26E8A"/>
    <w:rsid w:val="0AB5270A"/>
    <w:rsid w:val="0ABC02E8"/>
    <w:rsid w:val="0AC16484"/>
    <w:rsid w:val="0AC85DBB"/>
    <w:rsid w:val="0ACB2015"/>
    <w:rsid w:val="0AD20D5E"/>
    <w:rsid w:val="0AD555AC"/>
    <w:rsid w:val="0AED24FC"/>
    <w:rsid w:val="0B0F4A80"/>
    <w:rsid w:val="0B1B1997"/>
    <w:rsid w:val="0B24532C"/>
    <w:rsid w:val="0B38536F"/>
    <w:rsid w:val="0B3F6621"/>
    <w:rsid w:val="0B46021F"/>
    <w:rsid w:val="0B4D2A88"/>
    <w:rsid w:val="0B527B25"/>
    <w:rsid w:val="0B574F10"/>
    <w:rsid w:val="0B5B4CA4"/>
    <w:rsid w:val="0B5E04B4"/>
    <w:rsid w:val="0B5E0983"/>
    <w:rsid w:val="0B5F6A9A"/>
    <w:rsid w:val="0B6A4840"/>
    <w:rsid w:val="0B707256"/>
    <w:rsid w:val="0B7129F9"/>
    <w:rsid w:val="0B744B6D"/>
    <w:rsid w:val="0B7E60C9"/>
    <w:rsid w:val="0B8730CC"/>
    <w:rsid w:val="0B927AF3"/>
    <w:rsid w:val="0B970D88"/>
    <w:rsid w:val="0B997D22"/>
    <w:rsid w:val="0BA069F6"/>
    <w:rsid w:val="0BA238F9"/>
    <w:rsid w:val="0BB6397D"/>
    <w:rsid w:val="0BC97B63"/>
    <w:rsid w:val="0BCE29C3"/>
    <w:rsid w:val="0BD644F2"/>
    <w:rsid w:val="0BE05B3D"/>
    <w:rsid w:val="0BE711C1"/>
    <w:rsid w:val="0BEB139D"/>
    <w:rsid w:val="0BEF4F2C"/>
    <w:rsid w:val="0BF03462"/>
    <w:rsid w:val="0BF56721"/>
    <w:rsid w:val="0BF606AD"/>
    <w:rsid w:val="0C1E2E71"/>
    <w:rsid w:val="0C2D4BD9"/>
    <w:rsid w:val="0C5161F8"/>
    <w:rsid w:val="0C52360D"/>
    <w:rsid w:val="0C5A27CB"/>
    <w:rsid w:val="0C6B5BA9"/>
    <w:rsid w:val="0C6E60F3"/>
    <w:rsid w:val="0C7C1976"/>
    <w:rsid w:val="0C830617"/>
    <w:rsid w:val="0C8D69A8"/>
    <w:rsid w:val="0CA92A55"/>
    <w:rsid w:val="0CAC6DE2"/>
    <w:rsid w:val="0CBA5E3E"/>
    <w:rsid w:val="0CCB3B11"/>
    <w:rsid w:val="0CCB739F"/>
    <w:rsid w:val="0CDE5118"/>
    <w:rsid w:val="0CDE55BC"/>
    <w:rsid w:val="0CDF3914"/>
    <w:rsid w:val="0CE7776D"/>
    <w:rsid w:val="0CEA2CF7"/>
    <w:rsid w:val="0D035130"/>
    <w:rsid w:val="0D0D0439"/>
    <w:rsid w:val="0D205F17"/>
    <w:rsid w:val="0D23336E"/>
    <w:rsid w:val="0D284B82"/>
    <w:rsid w:val="0D2D1208"/>
    <w:rsid w:val="0D3A44E0"/>
    <w:rsid w:val="0D3A5239"/>
    <w:rsid w:val="0D3A7039"/>
    <w:rsid w:val="0D4356A8"/>
    <w:rsid w:val="0D826EB5"/>
    <w:rsid w:val="0D8735F9"/>
    <w:rsid w:val="0D8972A3"/>
    <w:rsid w:val="0D8C24E1"/>
    <w:rsid w:val="0D94436C"/>
    <w:rsid w:val="0D957CC2"/>
    <w:rsid w:val="0D980C13"/>
    <w:rsid w:val="0DAA20C3"/>
    <w:rsid w:val="0DB607B8"/>
    <w:rsid w:val="0DC22600"/>
    <w:rsid w:val="0DC51AC4"/>
    <w:rsid w:val="0DC63EF2"/>
    <w:rsid w:val="0DD114E9"/>
    <w:rsid w:val="0DD177A6"/>
    <w:rsid w:val="0DD75C5E"/>
    <w:rsid w:val="0DE9579A"/>
    <w:rsid w:val="0DE9694F"/>
    <w:rsid w:val="0DE969F5"/>
    <w:rsid w:val="0DFF4B13"/>
    <w:rsid w:val="0E0132C0"/>
    <w:rsid w:val="0E041001"/>
    <w:rsid w:val="0E093416"/>
    <w:rsid w:val="0E0B7894"/>
    <w:rsid w:val="0E0C3E0B"/>
    <w:rsid w:val="0E1F1160"/>
    <w:rsid w:val="0E2E39A0"/>
    <w:rsid w:val="0E402695"/>
    <w:rsid w:val="0E470868"/>
    <w:rsid w:val="0E4842B6"/>
    <w:rsid w:val="0E4F7F50"/>
    <w:rsid w:val="0E5C591E"/>
    <w:rsid w:val="0E66329E"/>
    <w:rsid w:val="0E6A704C"/>
    <w:rsid w:val="0E6B4543"/>
    <w:rsid w:val="0E777792"/>
    <w:rsid w:val="0E7B1FCA"/>
    <w:rsid w:val="0E880E39"/>
    <w:rsid w:val="0E920377"/>
    <w:rsid w:val="0E9D025B"/>
    <w:rsid w:val="0EA8225F"/>
    <w:rsid w:val="0ED01837"/>
    <w:rsid w:val="0ED33A29"/>
    <w:rsid w:val="0ED8660B"/>
    <w:rsid w:val="0EF97174"/>
    <w:rsid w:val="0EF97BEC"/>
    <w:rsid w:val="0F0F3D45"/>
    <w:rsid w:val="0F110062"/>
    <w:rsid w:val="0F2550AA"/>
    <w:rsid w:val="0F2B36C0"/>
    <w:rsid w:val="0F3A116B"/>
    <w:rsid w:val="0F4920A4"/>
    <w:rsid w:val="0F4942A2"/>
    <w:rsid w:val="0F4A66BD"/>
    <w:rsid w:val="0F511411"/>
    <w:rsid w:val="0F576CF8"/>
    <w:rsid w:val="0F596ABB"/>
    <w:rsid w:val="0F703346"/>
    <w:rsid w:val="0F80004E"/>
    <w:rsid w:val="0F871EAB"/>
    <w:rsid w:val="0F9D3FD2"/>
    <w:rsid w:val="0F9F1528"/>
    <w:rsid w:val="0FDF5A14"/>
    <w:rsid w:val="0FE50DE9"/>
    <w:rsid w:val="0FEA5AC5"/>
    <w:rsid w:val="0FFE2B89"/>
    <w:rsid w:val="0FFF3FF2"/>
    <w:rsid w:val="1008703A"/>
    <w:rsid w:val="10126FBC"/>
    <w:rsid w:val="101946AA"/>
    <w:rsid w:val="103809FF"/>
    <w:rsid w:val="10644043"/>
    <w:rsid w:val="106F495E"/>
    <w:rsid w:val="10764104"/>
    <w:rsid w:val="10872D51"/>
    <w:rsid w:val="108A5F33"/>
    <w:rsid w:val="108E01E0"/>
    <w:rsid w:val="108F6F5D"/>
    <w:rsid w:val="1094235B"/>
    <w:rsid w:val="1096068D"/>
    <w:rsid w:val="109F23E5"/>
    <w:rsid w:val="10AC6A23"/>
    <w:rsid w:val="10B951CF"/>
    <w:rsid w:val="10BB3068"/>
    <w:rsid w:val="10CF68EB"/>
    <w:rsid w:val="10D24280"/>
    <w:rsid w:val="10D82C05"/>
    <w:rsid w:val="10D92C55"/>
    <w:rsid w:val="10FC1774"/>
    <w:rsid w:val="10FC7A16"/>
    <w:rsid w:val="110D2C89"/>
    <w:rsid w:val="110E3EB6"/>
    <w:rsid w:val="11131D94"/>
    <w:rsid w:val="111778A8"/>
    <w:rsid w:val="111E4B32"/>
    <w:rsid w:val="1124277B"/>
    <w:rsid w:val="113B4A52"/>
    <w:rsid w:val="114A2CDD"/>
    <w:rsid w:val="114E27DA"/>
    <w:rsid w:val="114E4423"/>
    <w:rsid w:val="115C186C"/>
    <w:rsid w:val="11617971"/>
    <w:rsid w:val="11622F64"/>
    <w:rsid w:val="116F4939"/>
    <w:rsid w:val="117400AF"/>
    <w:rsid w:val="1179055E"/>
    <w:rsid w:val="11816530"/>
    <w:rsid w:val="11846297"/>
    <w:rsid w:val="1186164E"/>
    <w:rsid w:val="118660F9"/>
    <w:rsid w:val="1191682E"/>
    <w:rsid w:val="11A4592F"/>
    <w:rsid w:val="11AD4D58"/>
    <w:rsid w:val="11B25EB1"/>
    <w:rsid w:val="11B5691A"/>
    <w:rsid w:val="11B67206"/>
    <w:rsid w:val="11BA4661"/>
    <w:rsid w:val="11BA6A1A"/>
    <w:rsid w:val="11C252FC"/>
    <w:rsid w:val="11CD19A7"/>
    <w:rsid w:val="11DA456B"/>
    <w:rsid w:val="11E411C4"/>
    <w:rsid w:val="11EE75FC"/>
    <w:rsid w:val="11FA2349"/>
    <w:rsid w:val="11FF5DA0"/>
    <w:rsid w:val="120257B2"/>
    <w:rsid w:val="12044AB3"/>
    <w:rsid w:val="120C7685"/>
    <w:rsid w:val="121015B2"/>
    <w:rsid w:val="121D1954"/>
    <w:rsid w:val="12277752"/>
    <w:rsid w:val="12342A01"/>
    <w:rsid w:val="12371472"/>
    <w:rsid w:val="12497AD0"/>
    <w:rsid w:val="12502219"/>
    <w:rsid w:val="12533BE9"/>
    <w:rsid w:val="1255374D"/>
    <w:rsid w:val="12563736"/>
    <w:rsid w:val="12605699"/>
    <w:rsid w:val="126548EE"/>
    <w:rsid w:val="12817181"/>
    <w:rsid w:val="12855EBB"/>
    <w:rsid w:val="128A5579"/>
    <w:rsid w:val="12911818"/>
    <w:rsid w:val="129919B5"/>
    <w:rsid w:val="129E41E5"/>
    <w:rsid w:val="12AA4BE9"/>
    <w:rsid w:val="12AD31B7"/>
    <w:rsid w:val="12B1333A"/>
    <w:rsid w:val="12BD714C"/>
    <w:rsid w:val="12C003F7"/>
    <w:rsid w:val="12C7679B"/>
    <w:rsid w:val="12D1777E"/>
    <w:rsid w:val="12DD774D"/>
    <w:rsid w:val="12E20B88"/>
    <w:rsid w:val="13045582"/>
    <w:rsid w:val="130D494D"/>
    <w:rsid w:val="13202B24"/>
    <w:rsid w:val="13283A05"/>
    <w:rsid w:val="133E4EC4"/>
    <w:rsid w:val="134B7D6A"/>
    <w:rsid w:val="135702FC"/>
    <w:rsid w:val="13581549"/>
    <w:rsid w:val="136404F3"/>
    <w:rsid w:val="137E2663"/>
    <w:rsid w:val="13B61E8E"/>
    <w:rsid w:val="13B70348"/>
    <w:rsid w:val="13BF57E2"/>
    <w:rsid w:val="13C23A1B"/>
    <w:rsid w:val="13C76244"/>
    <w:rsid w:val="13CB17CC"/>
    <w:rsid w:val="13CF28FB"/>
    <w:rsid w:val="13DA7C15"/>
    <w:rsid w:val="13E10AD9"/>
    <w:rsid w:val="13EA1322"/>
    <w:rsid w:val="13EA5E5F"/>
    <w:rsid w:val="13F13CC6"/>
    <w:rsid w:val="13F74226"/>
    <w:rsid w:val="140329A8"/>
    <w:rsid w:val="140E0DE1"/>
    <w:rsid w:val="14107AE9"/>
    <w:rsid w:val="14157DFD"/>
    <w:rsid w:val="14175E0A"/>
    <w:rsid w:val="141F1BA5"/>
    <w:rsid w:val="142A2204"/>
    <w:rsid w:val="14471FE1"/>
    <w:rsid w:val="144E7AE0"/>
    <w:rsid w:val="1452019E"/>
    <w:rsid w:val="145E5A4D"/>
    <w:rsid w:val="1472255F"/>
    <w:rsid w:val="14782396"/>
    <w:rsid w:val="14832BA9"/>
    <w:rsid w:val="148465FD"/>
    <w:rsid w:val="148942E3"/>
    <w:rsid w:val="148B031E"/>
    <w:rsid w:val="14AC25B0"/>
    <w:rsid w:val="14AE0BED"/>
    <w:rsid w:val="14AF303C"/>
    <w:rsid w:val="14BE1377"/>
    <w:rsid w:val="14BE55AD"/>
    <w:rsid w:val="14BF2CAD"/>
    <w:rsid w:val="14E52CFF"/>
    <w:rsid w:val="15010F20"/>
    <w:rsid w:val="1502113A"/>
    <w:rsid w:val="151308D4"/>
    <w:rsid w:val="15281376"/>
    <w:rsid w:val="153A74E0"/>
    <w:rsid w:val="15422545"/>
    <w:rsid w:val="15515573"/>
    <w:rsid w:val="156508EF"/>
    <w:rsid w:val="15653949"/>
    <w:rsid w:val="15693006"/>
    <w:rsid w:val="156C0A74"/>
    <w:rsid w:val="15716A99"/>
    <w:rsid w:val="157177C3"/>
    <w:rsid w:val="15755788"/>
    <w:rsid w:val="157F2CB1"/>
    <w:rsid w:val="1581047E"/>
    <w:rsid w:val="15895642"/>
    <w:rsid w:val="15A444EB"/>
    <w:rsid w:val="15A75916"/>
    <w:rsid w:val="15B0540D"/>
    <w:rsid w:val="15B7532E"/>
    <w:rsid w:val="15C30D5B"/>
    <w:rsid w:val="15C84147"/>
    <w:rsid w:val="15C87176"/>
    <w:rsid w:val="15CA017F"/>
    <w:rsid w:val="15D44CB9"/>
    <w:rsid w:val="15D64DE0"/>
    <w:rsid w:val="15D71AD5"/>
    <w:rsid w:val="15D908D7"/>
    <w:rsid w:val="15DC38C2"/>
    <w:rsid w:val="15F23B4A"/>
    <w:rsid w:val="15FC08F6"/>
    <w:rsid w:val="15FF5FA5"/>
    <w:rsid w:val="160339FE"/>
    <w:rsid w:val="16211891"/>
    <w:rsid w:val="16385E17"/>
    <w:rsid w:val="1646133C"/>
    <w:rsid w:val="16535A2F"/>
    <w:rsid w:val="165931D9"/>
    <w:rsid w:val="16682D3E"/>
    <w:rsid w:val="166A0ACC"/>
    <w:rsid w:val="167046E9"/>
    <w:rsid w:val="16707B6C"/>
    <w:rsid w:val="1679566E"/>
    <w:rsid w:val="167E382D"/>
    <w:rsid w:val="16B64EC9"/>
    <w:rsid w:val="16BD5C6B"/>
    <w:rsid w:val="16C14D16"/>
    <w:rsid w:val="16C8771D"/>
    <w:rsid w:val="16DC0535"/>
    <w:rsid w:val="16DC19C3"/>
    <w:rsid w:val="16F31A11"/>
    <w:rsid w:val="16F74722"/>
    <w:rsid w:val="16FA20DA"/>
    <w:rsid w:val="17045852"/>
    <w:rsid w:val="17060D55"/>
    <w:rsid w:val="170716B6"/>
    <w:rsid w:val="170F5DE2"/>
    <w:rsid w:val="17152764"/>
    <w:rsid w:val="17203431"/>
    <w:rsid w:val="172C56B5"/>
    <w:rsid w:val="1748083E"/>
    <w:rsid w:val="17553F9F"/>
    <w:rsid w:val="175623CE"/>
    <w:rsid w:val="175D0E4A"/>
    <w:rsid w:val="175E2809"/>
    <w:rsid w:val="176538DA"/>
    <w:rsid w:val="17787D90"/>
    <w:rsid w:val="1794775D"/>
    <w:rsid w:val="17B11330"/>
    <w:rsid w:val="17B12427"/>
    <w:rsid w:val="17C376AD"/>
    <w:rsid w:val="17CB4905"/>
    <w:rsid w:val="17D01F3A"/>
    <w:rsid w:val="17DC7DAF"/>
    <w:rsid w:val="17DF40F7"/>
    <w:rsid w:val="180E4FC5"/>
    <w:rsid w:val="18171331"/>
    <w:rsid w:val="181F3A21"/>
    <w:rsid w:val="182868AE"/>
    <w:rsid w:val="182B7833"/>
    <w:rsid w:val="18396192"/>
    <w:rsid w:val="184A4BE3"/>
    <w:rsid w:val="184B073D"/>
    <w:rsid w:val="18500258"/>
    <w:rsid w:val="185060EC"/>
    <w:rsid w:val="185136D2"/>
    <w:rsid w:val="18543427"/>
    <w:rsid w:val="18545FAF"/>
    <w:rsid w:val="18576923"/>
    <w:rsid w:val="185A42FA"/>
    <w:rsid w:val="187917A8"/>
    <w:rsid w:val="18870C54"/>
    <w:rsid w:val="189D2207"/>
    <w:rsid w:val="18A45C40"/>
    <w:rsid w:val="18CA2CBB"/>
    <w:rsid w:val="18D57338"/>
    <w:rsid w:val="18D6054D"/>
    <w:rsid w:val="18DA3216"/>
    <w:rsid w:val="18E96032"/>
    <w:rsid w:val="18EE62E8"/>
    <w:rsid w:val="18EE6767"/>
    <w:rsid w:val="18F91C85"/>
    <w:rsid w:val="18F93D3B"/>
    <w:rsid w:val="18F96461"/>
    <w:rsid w:val="18FF308F"/>
    <w:rsid w:val="190135AC"/>
    <w:rsid w:val="19094BBF"/>
    <w:rsid w:val="19116F8E"/>
    <w:rsid w:val="194E2B84"/>
    <w:rsid w:val="194E6691"/>
    <w:rsid w:val="19551A74"/>
    <w:rsid w:val="195942F0"/>
    <w:rsid w:val="195F7D63"/>
    <w:rsid w:val="196A5FC1"/>
    <w:rsid w:val="196B18E4"/>
    <w:rsid w:val="197A625B"/>
    <w:rsid w:val="197C2433"/>
    <w:rsid w:val="19852141"/>
    <w:rsid w:val="198D2276"/>
    <w:rsid w:val="19933139"/>
    <w:rsid w:val="199519EB"/>
    <w:rsid w:val="199C0571"/>
    <w:rsid w:val="19A370D2"/>
    <w:rsid w:val="19AC4F46"/>
    <w:rsid w:val="19BD7FCA"/>
    <w:rsid w:val="19C83DDC"/>
    <w:rsid w:val="19D57461"/>
    <w:rsid w:val="19E5590B"/>
    <w:rsid w:val="19E74602"/>
    <w:rsid w:val="19EE7D0B"/>
    <w:rsid w:val="1A077D86"/>
    <w:rsid w:val="1A085685"/>
    <w:rsid w:val="1A191F3E"/>
    <w:rsid w:val="1A237B53"/>
    <w:rsid w:val="1A342071"/>
    <w:rsid w:val="1A367BB6"/>
    <w:rsid w:val="1A477B50"/>
    <w:rsid w:val="1A5163D6"/>
    <w:rsid w:val="1A54768F"/>
    <w:rsid w:val="1A5A669E"/>
    <w:rsid w:val="1A706484"/>
    <w:rsid w:val="1A751CA9"/>
    <w:rsid w:val="1A796C32"/>
    <w:rsid w:val="1A84345A"/>
    <w:rsid w:val="1A9B6333"/>
    <w:rsid w:val="1AA11028"/>
    <w:rsid w:val="1AB623A5"/>
    <w:rsid w:val="1AB9028C"/>
    <w:rsid w:val="1AB91166"/>
    <w:rsid w:val="1ABD699B"/>
    <w:rsid w:val="1AC56317"/>
    <w:rsid w:val="1AD6319E"/>
    <w:rsid w:val="1ADC0670"/>
    <w:rsid w:val="1AE47B80"/>
    <w:rsid w:val="1B176C50"/>
    <w:rsid w:val="1B455918"/>
    <w:rsid w:val="1B4B651F"/>
    <w:rsid w:val="1B603B7C"/>
    <w:rsid w:val="1B777BC9"/>
    <w:rsid w:val="1B7D10D5"/>
    <w:rsid w:val="1B8D6B92"/>
    <w:rsid w:val="1B936CD6"/>
    <w:rsid w:val="1B9842A3"/>
    <w:rsid w:val="1B990279"/>
    <w:rsid w:val="1B9B4E1C"/>
    <w:rsid w:val="1B9C50E9"/>
    <w:rsid w:val="1BA11A37"/>
    <w:rsid w:val="1BA13662"/>
    <w:rsid w:val="1BAA5FDD"/>
    <w:rsid w:val="1BAD4429"/>
    <w:rsid w:val="1BB80557"/>
    <w:rsid w:val="1BBC1606"/>
    <w:rsid w:val="1BBC217D"/>
    <w:rsid w:val="1BD815BE"/>
    <w:rsid w:val="1BD91A80"/>
    <w:rsid w:val="1BE10BC8"/>
    <w:rsid w:val="1BE641ED"/>
    <w:rsid w:val="1BF24F3D"/>
    <w:rsid w:val="1C1D36F1"/>
    <w:rsid w:val="1C1F1D32"/>
    <w:rsid w:val="1C200EAE"/>
    <w:rsid w:val="1C291BAA"/>
    <w:rsid w:val="1C386892"/>
    <w:rsid w:val="1C3A035E"/>
    <w:rsid w:val="1C4A2683"/>
    <w:rsid w:val="1C502501"/>
    <w:rsid w:val="1C5F292D"/>
    <w:rsid w:val="1C5F3B2B"/>
    <w:rsid w:val="1C5F5908"/>
    <w:rsid w:val="1C631E26"/>
    <w:rsid w:val="1C743F21"/>
    <w:rsid w:val="1C7530BF"/>
    <w:rsid w:val="1C83150F"/>
    <w:rsid w:val="1C8361D3"/>
    <w:rsid w:val="1C8F7D9D"/>
    <w:rsid w:val="1C933922"/>
    <w:rsid w:val="1C954E9B"/>
    <w:rsid w:val="1CBB1BB0"/>
    <w:rsid w:val="1CBC5611"/>
    <w:rsid w:val="1CCB7770"/>
    <w:rsid w:val="1CD22EF6"/>
    <w:rsid w:val="1CD7177C"/>
    <w:rsid w:val="1CE17872"/>
    <w:rsid w:val="1CF005FD"/>
    <w:rsid w:val="1CF6531E"/>
    <w:rsid w:val="1CF73467"/>
    <w:rsid w:val="1D0B195E"/>
    <w:rsid w:val="1D166A47"/>
    <w:rsid w:val="1D1B606C"/>
    <w:rsid w:val="1D3570D5"/>
    <w:rsid w:val="1D4E0EB2"/>
    <w:rsid w:val="1D607992"/>
    <w:rsid w:val="1D693FA7"/>
    <w:rsid w:val="1D8F4E65"/>
    <w:rsid w:val="1D9C0F42"/>
    <w:rsid w:val="1DA063BF"/>
    <w:rsid w:val="1DAE7EBF"/>
    <w:rsid w:val="1DB41D7B"/>
    <w:rsid w:val="1DB553DF"/>
    <w:rsid w:val="1DBF1882"/>
    <w:rsid w:val="1DC84414"/>
    <w:rsid w:val="1DCA3F6C"/>
    <w:rsid w:val="1DDB7A8A"/>
    <w:rsid w:val="1DF17BE1"/>
    <w:rsid w:val="1DF91071"/>
    <w:rsid w:val="1DFB260B"/>
    <w:rsid w:val="1E004D92"/>
    <w:rsid w:val="1E167557"/>
    <w:rsid w:val="1E2503B1"/>
    <w:rsid w:val="1E302A17"/>
    <w:rsid w:val="1E4719A3"/>
    <w:rsid w:val="1E551952"/>
    <w:rsid w:val="1E5F1F97"/>
    <w:rsid w:val="1E6C5F4E"/>
    <w:rsid w:val="1E722258"/>
    <w:rsid w:val="1E755015"/>
    <w:rsid w:val="1E8012DA"/>
    <w:rsid w:val="1E8449FA"/>
    <w:rsid w:val="1E944CBA"/>
    <w:rsid w:val="1E974B7D"/>
    <w:rsid w:val="1EA42272"/>
    <w:rsid w:val="1EA43159"/>
    <w:rsid w:val="1EA65561"/>
    <w:rsid w:val="1EAD4127"/>
    <w:rsid w:val="1EB70BD9"/>
    <w:rsid w:val="1EB8797A"/>
    <w:rsid w:val="1EE142F9"/>
    <w:rsid w:val="1EEC719E"/>
    <w:rsid w:val="1EEE2F09"/>
    <w:rsid w:val="1EF7018A"/>
    <w:rsid w:val="1F0242AA"/>
    <w:rsid w:val="1F044236"/>
    <w:rsid w:val="1F0813F5"/>
    <w:rsid w:val="1F08757A"/>
    <w:rsid w:val="1F111D05"/>
    <w:rsid w:val="1F14362A"/>
    <w:rsid w:val="1F25251D"/>
    <w:rsid w:val="1F2B5438"/>
    <w:rsid w:val="1F390590"/>
    <w:rsid w:val="1F424A01"/>
    <w:rsid w:val="1F4B0BE5"/>
    <w:rsid w:val="1F4C33CB"/>
    <w:rsid w:val="1F4C6748"/>
    <w:rsid w:val="1F560F2F"/>
    <w:rsid w:val="1F595467"/>
    <w:rsid w:val="1F5B2F4F"/>
    <w:rsid w:val="1F5C06A1"/>
    <w:rsid w:val="1F774357"/>
    <w:rsid w:val="1F7D4C37"/>
    <w:rsid w:val="1F85321F"/>
    <w:rsid w:val="1FA52B02"/>
    <w:rsid w:val="1FA84011"/>
    <w:rsid w:val="1FA93A51"/>
    <w:rsid w:val="1FB80942"/>
    <w:rsid w:val="1FBB5482"/>
    <w:rsid w:val="1FCE373D"/>
    <w:rsid w:val="1FD06E6D"/>
    <w:rsid w:val="1FD70AAB"/>
    <w:rsid w:val="2001262E"/>
    <w:rsid w:val="200D64BE"/>
    <w:rsid w:val="20153599"/>
    <w:rsid w:val="201B2789"/>
    <w:rsid w:val="20214DF0"/>
    <w:rsid w:val="20256516"/>
    <w:rsid w:val="20584BED"/>
    <w:rsid w:val="207F7CDD"/>
    <w:rsid w:val="20A4578F"/>
    <w:rsid w:val="20BC55C4"/>
    <w:rsid w:val="20BD4C1D"/>
    <w:rsid w:val="20BF1816"/>
    <w:rsid w:val="20CA6414"/>
    <w:rsid w:val="20D40A6C"/>
    <w:rsid w:val="20D60AAE"/>
    <w:rsid w:val="20D94EF4"/>
    <w:rsid w:val="21046ABD"/>
    <w:rsid w:val="21061BA2"/>
    <w:rsid w:val="2121427E"/>
    <w:rsid w:val="21220DD3"/>
    <w:rsid w:val="21262CBA"/>
    <w:rsid w:val="212B1C97"/>
    <w:rsid w:val="21361FB5"/>
    <w:rsid w:val="214B3D89"/>
    <w:rsid w:val="2154483D"/>
    <w:rsid w:val="21575426"/>
    <w:rsid w:val="215C1F77"/>
    <w:rsid w:val="215F0902"/>
    <w:rsid w:val="21631E30"/>
    <w:rsid w:val="216C7D5C"/>
    <w:rsid w:val="217547DC"/>
    <w:rsid w:val="2177769E"/>
    <w:rsid w:val="217C4489"/>
    <w:rsid w:val="217F640E"/>
    <w:rsid w:val="218965BD"/>
    <w:rsid w:val="21A93954"/>
    <w:rsid w:val="21AF7109"/>
    <w:rsid w:val="21D13E07"/>
    <w:rsid w:val="21D25FF2"/>
    <w:rsid w:val="21D35B8A"/>
    <w:rsid w:val="21D5280D"/>
    <w:rsid w:val="21EB6B55"/>
    <w:rsid w:val="21F70210"/>
    <w:rsid w:val="22110474"/>
    <w:rsid w:val="2219329D"/>
    <w:rsid w:val="221A4505"/>
    <w:rsid w:val="221E0187"/>
    <w:rsid w:val="22344A9E"/>
    <w:rsid w:val="22363269"/>
    <w:rsid w:val="223C2DAF"/>
    <w:rsid w:val="223E2651"/>
    <w:rsid w:val="224E39C0"/>
    <w:rsid w:val="22537B15"/>
    <w:rsid w:val="226575C4"/>
    <w:rsid w:val="22682C5C"/>
    <w:rsid w:val="226D3EEA"/>
    <w:rsid w:val="226E077B"/>
    <w:rsid w:val="22800451"/>
    <w:rsid w:val="228935B5"/>
    <w:rsid w:val="22923DE9"/>
    <w:rsid w:val="22973417"/>
    <w:rsid w:val="229D5794"/>
    <w:rsid w:val="22AD1241"/>
    <w:rsid w:val="22AF6202"/>
    <w:rsid w:val="22BE600E"/>
    <w:rsid w:val="22C17DB5"/>
    <w:rsid w:val="22C32593"/>
    <w:rsid w:val="22C629AC"/>
    <w:rsid w:val="22D6244E"/>
    <w:rsid w:val="22DD27AA"/>
    <w:rsid w:val="22E96F92"/>
    <w:rsid w:val="22F7746D"/>
    <w:rsid w:val="23060CEA"/>
    <w:rsid w:val="230D3451"/>
    <w:rsid w:val="230E5678"/>
    <w:rsid w:val="23257653"/>
    <w:rsid w:val="23346FCE"/>
    <w:rsid w:val="23441FFA"/>
    <w:rsid w:val="23445710"/>
    <w:rsid w:val="234B3276"/>
    <w:rsid w:val="235E0D61"/>
    <w:rsid w:val="23603619"/>
    <w:rsid w:val="23626207"/>
    <w:rsid w:val="23770D4C"/>
    <w:rsid w:val="23773623"/>
    <w:rsid w:val="2377693D"/>
    <w:rsid w:val="239C0243"/>
    <w:rsid w:val="239F724D"/>
    <w:rsid w:val="23A1050D"/>
    <w:rsid w:val="23A14082"/>
    <w:rsid w:val="23AB1721"/>
    <w:rsid w:val="23B11FB2"/>
    <w:rsid w:val="23BB2BB1"/>
    <w:rsid w:val="23BD1C54"/>
    <w:rsid w:val="23D90902"/>
    <w:rsid w:val="23DA1C5E"/>
    <w:rsid w:val="23EC57F1"/>
    <w:rsid w:val="23EF0BE1"/>
    <w:rsid w:val="23FA709A"/>
    <w:rsid w:val="24002E5E"/>
    <w:rsid w:val="24047002"/>
    <w:rsid w:val="24146117"/>
    <w:rsid w:val="24232DE5"/>
    <w:rsid w:val="2424697F"/>
    <w:rsid w:val="24277523"/>
    <w:rsid w:val="243E0DB0"/>
    <w:rsid w:val="244A408C"/>
    <w:rsid w:val="245A6743"/>
    <w:rsid w:val="246A08B9"/>
    <w:rsid w:val="24754B15"/>
    <w:rsid w:val="247F64CC"/>
    <w:rsid w:val="248D420D"/>
    <w:rsid w:val="248E37E3"/>
    <w:rsid w:val="24921B27"/>
    <w:rsid w:val="24A0121D"/>
    <w:rsid w:val="24B0652D"/>
    <w:rsid w:val="24B97631"/>
    <w:rsid w:val="24C90419"/>
    <w:rsid w:val="24CC6FAC"/>
    <w:rsid w:val="24D24D56"/>
    <w:rsid w:val="24E0616D"/>
    <w:rsid w:val="24E2407F"/>
    <w:rsid w:val="24E32289"/>
    <w:rsid w:val="24ED1C1E"/>
    <w:rsid w:val="24F0284D"/>
    <w:rsid w:val="24F039A5"/>
    <w:rsid w:val="24F97491"/>
    <w:rsid w:val="250E20E4"/>
    <w:rsid w:val="25202C91"/>
    <w:rsid w:val="252331A5"/>
    <w:rsid w:val="252733A0"/>
    <w:rsid w:val="252A6107"/>
    <w:rsid w:val="253B3A36"/>
    <w:rsid w:val="253C4214"/>
    <w:rsid w:val="254002AB"/>
    <w:rsid w:val="25425A19"/>
    <w:rsid w:val="25490B3E"/>
    <w:rsid w:val="25585952"/>
    <w:rsid w:val="25667D90"/>
    <w:rsid w:val="256E6C47"/>
    <w:rsid w:val="256F1A53"/>
    <w:rsid w:val="258B2F2B"/>
    <w:rsid w:val="258B31A0"/>
    <w:rsid w:val="25952D2E"/>
    <w:rsid w:val="25AB3D1C"/>
    <w:rsid w:val="25AC53DC"/>
    <w:rsid w:val="25C40884"/>
    <w:rsid w:val="25C73A07"/>
    <w:rsid w:val="25CB7FC0"/>
    <w:rsid w:val="25D30AA5"/>
    <w:rsid w:val="25D90A1B"/>
    <w:rsid w:val="25DC0129"/>
    <w:rsid w:val="25DF10AE"/>
    <w:rsid w:val="25DF4931"/>
    <w:rsid w:val="25E12CB6"/>
    <w:rsid w:val="25E22192"/>
    <w:rsid w:val="25F332FF"/>
    <w:rsid w:val="25FE37D6"/>
    <w:rsid w:val="260E417C"/>
    <w:rsid w:val="26274BB6"/>
    <w:rsid w:val="26356536"/>
    <w:rsid w:val="264B61DF"/>
    <w:rsid w:val="266853CB"/>
    <w:rsid w:val="266F2B89"/>
    <w:rsid w:val="268B243A"/>
    <w:rsid w:val="26912919"/>
    <w:rsid w:val="269C2D39"/>
    <w:rsid w:val="269C627F"/>
    <w:rsid w:val="26AA20D3"/>
    <w:rsid w:val="26AA327D"/>
    <w:rsid w:val="26AA349C"/>
    <w:rsid w:val="26B43DCE"/>
    <w:rsid w:val="26B60941"/>
    <w:rsid w:val="26C705B0"/>
    <w:rsid w:val="26CB5833"/>
    <w:rsid w:val="26D251BE"/>
    <w:rsid w:val="26D85457"/>
    <w:rsid w:val="26DB01F5"/>
    <w:rsid w:val="26DD3B73"/>
    <w:rsid w:val="26E444A5"/>
    <w:rsid w:val="26E576C7"/>
    <w:rsid w:val="26F04260"/>
    <w:rsid w:val="26F81EB4"/>
    <w:rsid w:val="26F97547"/>
    <w:rsid w:val="26FB2F1B"/>
    <w:rsid w:val="27272F86"/>
    <w:rsid w:val="272D45D3"/>
    <w:rsid w:val="27310A5B"/>
    <w:rsid w:val="27310B9A"/>
    <w:rsid w:val="273E1C11"/>
    <w:rsid w:val="275265C3"/>
    <w:rsid w:val="276B112C"/>
    <w:rsid w:val="27815619"/>
    <w:rsid w:val="27842EF3"/>
    <w:rsid w:val="279E2679"/>
    <w:rsid w:val="279F554C"/>
    <w:rsid w:val="27C25618"/>
    <w:rsid w:val="27D65541"/>
    <w:rsid w:val="27E50C24"/>
    <w:rsid w:val="27E6001E"/>
    <w:rsid w:val="27EC5FCE"/>
    <w:rsid w:val="27F81576"/>
    <w:rsid w:val="280F0449"/>
    <w:rsid w:val="28183270"/>
    <w:rsid w:val="281C0F13"/>
    <w:rsid w:val="281F24B4"/>
    <w:rsid w:val="284172A4"/>
    <w:rsid w:val="285E7D99"/>
    <w:rsid w:val="286651CF"/>
    <w:rsid w:val="28671C46"/>
    <w:rsid w:val="28786555"/>
    <w:rsid w:val="2897657D"/>
    <w:rsid w:val="28AB19F4"/>
    <w:rsid w:val="28BD3A65"/>
    <w:rsid w:val="28BD5FE3"/>
    <w:rsid w:val="28D71E0B"/>
    <w:rsid w:val="28DC39BE"/>
    <w:rsid w:val="28DD5BCB"/>
    <w:rsid w:val="28E01F8A"/>
    <w:rsid w:val="28E931FB"/>
    <w:rsid w:val="28E977BA"/>
    <w:rsid w:val="28F045AC"/>
    <w:rsid w:val="290E63C8"/>
    <w:rsid w:val="291B318A"/>
    <w:rsid w:val="291D583E"/>
    <w:rsid w:val="293723B4"/>
    <w:rsid w:val="293A5EAD"/>
    <w:rsid w:val="294157AB"/>
    <w:rsid w:val="29602BC4"/>
    <w:rsid w:val="299629CF"/>
    <w:rsid w:val="299760C7"/>
    <w:rsid w:val="2999350D"/>
    <w:rsid w:val="299E7E78"/>
    <w:rsid w:val="29A604F9"/>
    <w:rsid w:val="29B759BC"/>
    <w:rsid w:val="29C00DB7"/>
    <w:rsid w:val="29D60A95"/>
    <w:rsid w:val="29D94FA1"/>
    <w:rsid w:val="29E31604"/>
    <w:rsid w:val="29F87E04"/>
    <w:rsid w:val="29F93602"/>
    <w:rsid w:val="2A113092"/>
    <w:rsid w:val="2A1A7BC7"/>
    <w:rsid w:val="2A1E01A9"/>
    <w:rsid w:val="2A1E4926"/>
    <w:rsid w:val="2A2D73EC"/>
    <w:rsid w:val="2A2E4CEB"/>
    <w:rsid w:val="2A3B565F"/>
    <w:rsid w:val="2A4A3088"/>
    <w:rsid w:val="2A532C05"/>
    <w:rsid w:val="2A5D0C96"/>
    <w:rsid w:val="2A6501C8"/>
    <w:rsid w:val="2A653259"/>
    <w:rsid w:val="2A8F4841"/>
    <w:rsid w:val="2A9E3ECC"/>
    <w:rsid w:val="2AA270FE"/>
    <w:rsid w:val="2AA369DD"/>
    <w:rsid w:val="2AD06022"/>
    <w:rsid w:val="2AD63975"/>
    <w:rsid w:val="2ADD1B0D"/>
    <w:rsid w:val="2AEA137E"/>
    <w:rsid w:val="2AEC47FC"/>
    <w:rsid w:val="2AF1331E"/>
    <w:rsid w:val="2AF46F08"/>
    <w:rsid w:val="2AF81BE3"/>
    <w:rsid w:val="2AFF23A5"/>
    <w:rsid w:val="2B176F87"/>
    <w:rsid w:val="2B3548BD"/>
    <w:rsid w:val="2B361003"/>
    <w:rsid w:val="2B3762A6"/>
    <w:rsid w:val="2B3C6641"/>
    <w:rsid w:val="2B4A27A4"/>
    <w:rsid w:val="2B5567FE"/>
    <w:rsid w:val="2B5B0F6E"/>
    <w:rsid w:val="2B792D84"/>
    <w:rsid w:val="2B925FDF"/>
    <w:rsid w:val="2B967502"/>
    <w:rsid w:val="2B9970F1"/>
    <w:rsid w:val="2BB74A47"/>
    <w:rsid w:val="2BE501C7"/>
    <w:rsid w:val="2BE57DB5"/>
    <w:rsid w:val="2BEA2DF9"/>
    <w:rsid w:val="2BEC2FB4"/>
    <w:rsid w:val="2BED2E55"/>
    <w:rsid w:val="2C1738CF"/>
    <w:rsid w:val="2C1945D8"/>
    <w:rsid w:val="2C297CFC"/>
    <w:rsid w:val="2C2C74D6"/>
    <w:rsid w:val="2C3E23A2"/>
    <w:rsid w:val="2C4E7E38"/>
    <w:rsid w:val="2C5113C3"/>
    <w:rsid w:val="2C541B42"/>
    <w:rsid w:val="2C6C7918"/>
    <w:rsid w:val="2C783906"/>
    <w:rsid w:val="2C8E6AA1"/>
    <w:rsid w:val="2C900878"/>
    <w:rsid w:val="2C9E472D"/>
    <w:rsid w:val="2CB5787B"/>
    <w:rsid w:val="2CC43900"/>
    <w:rsid w:val="2CCA4381"/>
    <w:rsid w:val="2CD30F03"/>
    <w:rsid w:val="2CD66FAA"/>
    <w:rsid w:val="2CEA4162"/>
    <w:rsid w:val="2CF249BE"/>
    <w:rsid w:val="2CF710E3"/>
    <w:rsid w:val="2CFC1554"/>
    <w:rsid w:val="2CFF3512"/>
    <w:rsid w:val="2D0333E4"/>
    <w:rsid w:val="2D091F4A"/>
    <w:rsid w:val="2D0B7148"/>
    <w:rsid w:val="2D17770B"/>
    <w:rsid w:val="2D354DCA"/>
    <w:rsid w:val="2D3D37B8"/>
    <w:rsid w:val="2D3E7D46"/>
    <w:rsid w:val="2D6D74B7"/>
    <w:rsid w:val="2D6E6943"/>
    <w:rsid w:val="2D7E4AF7"/>
    <w:rsid w:val="2D8404BB"/>
    <w:rsid w:val="2D8519AC"/>
    <w:rsid w:val="2D87777E"/>
    <w:rsid w:val="2D8E349F"/>
    <w:rsid w:val="2D9469E6"/>
    <w:rsid w:val="2D9D7A77"/>
    <w:rsid w:val="2DAA08E0"/>
    <w:rsid w:val="2DAE0720"/>
    <w:rsid w:val="2DAF78FF"/>
    <w:rsid w:val="2DD87F9D"/>
    <w:rsid w:val="2DD93F77"/>
    <w:rsid w:val="2DDA3448"/>
    <w:rsid w:val="2DDC694B"/>
    <w:rsid w:val="2DDE7A41"/>
    <w:rsid w:val="2DEF20F0"/>
    <w:rsid w:val="2E041306"/>
    <w:rsid w:val="2E06778F"/>
    <w:rsid w:val="2E087703"/>
    <w:rsid w:val="2E106E4C"/>
    <w:rsid w:val="2E194231"/>
    <w:rsid w:val="2E345CCE"/>
    <w:rsid w:val="2E4C211D"/>
    <w:rsid w:val="2E4D7F49"/>
    <w:rsid w:val="2E4E05E7"/>
    <w:rsid w:val="2E4E1129"/>
    <w:rsid w:val="2E5B5EA2"/>
    <w:rsid w:val="2E6446EB"/>
    <w:rsid w:val="2E697834"/>
    <w:rsid w:val="2E6B07B8"/>
    <w:rsid w:val="2E7F0E61"/>
    <w:rsid w:val="2E7F686F"/>
    <w:rsid w:val="2E802750"/>
    <w:rsid w:val="2E870765"/>
    <w:rsid w:val="2E8753CE"/>
    <w:rsid w:val="2E8D0791"/>
    <w:rsid w:val="2E9B39A1"/>
    <w:rsid w:val="2EA04847"/>
    <w:rsid w:val="2EAA702B"/>
    <w:rsid w:val="2EBD1B6D"/>
    <w:rsid w:val="2ECD1756"/>
    <w:rsid w:val="2EDD3F6F"/>
    <w:rsid w:val="2F047EE8"/>
    <w:rsid w:val="2F085C75"/>
    <w:rsid w:val="2F2B12A9"/>
    <w:rsid w:val="2F3606B5"/>
    <w:rsid w:val="2F3A210B"/>
    <w:rsid w:val="2F3C4BFB"/>
    <w:rsid w:val="2F471420"/>
    <w:rsid w:val="2F527012"/>
    <w:rsid w:val="2F5D677A"/>
    <w:rsid w:val="2F626907"/>
    <w:rsid w:val="2F6B4720"/>
    <w:rsid w:val="2F956224"/>
    <w:rsid w:val="2FA11189"/>
    <w:rsid w:val="2FA23A7C"/>
    <w:rsid w:val="2FA30525"/>
    <w:rsid w:val="2FA44159"/>
    <w:rsid w:val="2FAD2A35"/>
    <w:rsid w:val="2FB449B9"/>
    <w:rsid w:val="2FBC113D"/>
    <w:rsid w:val="2FC73BC7"/>
    <w:rsid w:val="2FCB4593"/>
    <w:rsid w:val="2FD33F66"/>
    <w:rsid w:val="2FD408E0"/>
    <w:rsid w:val="2FD74D10"/>
    <w:rsid w:val="2FE311E4"/>
    <w:rsid w:val="2FF608DC"/>
    <w:rsid w:val="2FF71222"/>
    <w:rsid w:val="2FFD3FAC"/>
    <w:rsid w:val="3004586C"/>
    <w:rsid w:val="300B6218"/>
    <w:rsid w:val="30160ACC"/>
    <w:rsid w:val="302651B2"/>
    <w:rsid w:val="3041117C"/>
    <w:rsid w:val="3045081F"/>
    <w:rsid w:val="304A119D"/>
    <w:rsid w:val="30594623"/>
    <w:rsid w:val="305D3C56"/>
    <w:rsid w:val="305D69EA"/>
    <w:rsid w:val="306825DD"/>
    <w:rsid w:val="30834BF9"/>
    <w:rsid w:val="308974AE"/>
    <w:rsid w:val="30944718"/>
    <w:rsid w:val="30945B60"/>
    <w:rsid w:val="3096076B"/>
    <w:rsid w:val="30AF4187"/>
    <w:rsid w:val="30B07C44"/>
    <w:rsid w:val="30B978AD"/>
    <w:rsid w:val="30C01078"/>
    <w:rsid w:val="30CF0FD9"/>
    <w:rsid w:val="30CF5A24"/>
    <w:rsid w:val="30D20E0C"/>
    <w:rsid w:val="30E42C41"/>
    <w:rsid w:val="30F34FAE"/>
    <w:rsid w:val="312234DF"/>
    <w:rsid w:val="3133127A"/>
    <w:rsid w:val="31353CD7"/>
    <w:rsid w:val="313E620E"/>
    <w:rsid w:val="313E6CDE"/>
    <w:rsid w:val="313F3759"/>
    <w:rsid w:val="31416C5C"/>
    <w:rsid w:val="314E2D58"/>
    <w:rsid w:val="31727F68"/>
    <w:rsid w:val="317662E9"/>
    <w:rsid w:val="318735A8"/>
    <w:rsid w:val="31907F15"/>
    <w:rsid w:val="31954796"/>
    <w:rsid w:val="31962DAE"/>
    <w:rsid w:val="319F0073"/>
    <w:rsid w:val="31B9498A"/>
    <w:rsid w:val="31C74937"/>
    <w:rsid w:val="31CB6BC1"/>
    <w:rsid w:val="31CE7B45"/>
    <w:rsid w:val="31DD48DC"/>
    <w:rsid w:val="31E60453"/>
    <w:rsid w:val="32044DED"/>
    <w:rsid w:val="320C562E"/>
    <w:rsid w:val="3215767E"/>
    <w:rsid w:val="322566A5"/>
    <w:rsid w:val="32327738"/>
    <w:rsid w:val="32331A68"/>
    <w:rsid w:val="323F70E3"/>
    <w:rsid w:val="32414601"/>
    <w:rsid w:val="324B22D2"/>
    <w:rsid w:val="32575E9A"/>
    <w:rsid w:val="325C3AF5"/>
    <w:rsid w:val="3262622A"/>
    <w:rsid w:val="327506A5"/>
    <w:rsid w:val="327A0FE8"/>
    <w:rsid w:val="329F684F"/>
    <w:rsid w:val="32B26B6D"/>
    <w:rsid w:val="32C92CF9"/>
    <w:rsid w:val="32CC0FF0"/>
    <w:rsid w:val="32DF7982"/>
    <w:rsid w:val="32E20907"/>
    <w:rsid w:val="32F6364C"/>
    <w:rsid w:val="32F96ACA"/>
    <w:rsid w:val="330258B3"/>
    <w:rsid w:val="33054642"/>
    <w:rsid w:val="330C7AAB"/>
    <w:rsid w:val="33106E3B"/>
    <w:rsid w:val="3312491F"/>
    <w:rsid w:val="332F0A06"/>
    <w:rsid w:val="33301D0B"/>
    <w:rsid w:val="333E4968"/>
    <w:rsid w:val="336114D2"/>
    <w:rsid w:val="337E28B4"/>
    <w:rsid w:val="338A0241"/>
    <w:rsid w:val="33951969"/>
    <w:rsid w:val="339B5E01"/>
    <w:rsid w:val="33A23634"/>
    <w:rsid w:val="33A31D7A"/>
    <w:rsid w:val="33A6539B"/>
    <w:rsid w:val="33A84E4D"/>
    <w:rsid w:val="33D163EF"/>
    <w:rsid w:val="33D45DFD"/>
    <w:rsid w:val="33D74339"/>
    <w:rsid w:val="33D910EF"/>
    <w:rsid w:val="33E605A3"/>
    <w:rsid w:val="33E706E6"/>
    <w:rsid w:val="33F14703"/>
    <w:rsid w:val="33F7797D"/>
    <w:rsid w:val="3406027F"/>
    <w:rsid w:val="34285A89"/>
    <w:rsid w:val="343E4026"/>
    <w:rsid w:val="345B2367"/>
    <w:rsid w:val="34841338"/>
    <w:rsid w:val="348B5095"/>
    <w:rsid w:val="349C315B"/>
    <w:rsid w:val="349C31F7"/>
    <w:rsid w:val="34A12E66"/>
    <w:rsid w:val="34A54544"/>
    <w:rsid w:val="34AE0539"/>
    <w:rsid w:val="34BA3909"/>
    <w:rsid w:val="34C63AB8"/>
    <w:rsid w:val="34CD5068"/>
    <w:rsid w:val="34CE2B5B"/>
    <w:rsid w:val="34D57664"/>
    <w:rsid w:val="34DD0D0C"/>
    <w:rsid w:val="34DF61CE"/>
    <w:rsid w:val="34E944F6"/>
    <w:rsid w:val="34E94AA0"/>
    <w:rsid w:val="35072EAD"/>
    <w:rsid w:val="3507609F"/>
    <w:rsid w:val="350960B1"/>
    <w:rsid w:val="35150114"/>
    <w:rsid w:val="351B025E"/>
    <w:rsid w:val="35217336"/>
    <w:rsid w:val="35290A77"/>
    <w:rsid w:val="352A0B4B"/>
    <w:rsid w:val="352F7D57"/>
    <w:rsid w:val="35356F10"/>
    <w:rsid w:val="35362DCA"/>
    <w:rsid w:val="354840CB"/>
    <w:rsid w:val="35564C7D"/>
    <w:rsid w:val="355C013C"/>
    <w:rsid w:val="35653EA9"/>
    <w:rsid w:val="3565420B"/>
    <w:rsid w:val="356A5BBA"/>
    <w:rsid w:val="356A601B"/>
    <w:rsid w:val="356E60EB"/>
    <w:rsid w:val="35825C91"/>
    <w:rsid w:val="35832189"/>
    <w:rsid w:val="3583595D"/>
    <w:rsid w:val="35841013"/>
    <w:rsid w:val="358B79C9"/>
    <w:rsid w:val="35934427"/>
    <w:rsid w:val="359A00B9"/>
    <w:rsid w:val="35AF56A8"/>
    <w:rsid w:val="35C72C49"/>
    <w:rsid w:val="35F73AA1"/>
    <w:rsid w:val="35F853BB"/>
    <w:rsid w:val="35FB1676"/>
    <w:rsid w:val="36052B94"/>
    <w:rsid w:val="36101CF6"/>
    <w:rsid w:val="361526DE"/>
    <w:rsid w:val="36225127"/>
    <w:rsid w:val="36237E20"/>
    <w:rsid w:val="362551E1"/>
    <w:rsid w:val="36286678"/>
    <w:rsid w:val="36307C8E"/>
    <w:rsid w:val="36371F41"/>
    <w:rsid w:val="363803C7"/>
    <w:rsid w:val="364D4D97"/>
    <w:rsid w:val="367620D2"/>
    <w:rsid w:val="3689139F"/>
    <w:rsid w:val="369608CE"/>
    <w:rsid w:val="369B2954"/>
    <w:rsid w:val="36A30297"/>
    <w:rsid w:val="36A77D38"/>
    <w:rsid w:val="36C1037B"/>
    <w:rsid w:val="36D067A6"/>
    <w:rsid w:val="36D4011D"/>
    <w:rsid w:val="36E865A3"/>
    <w:rsid w:val="36FE4069"/>
    <w:rsid w:val="37070D11"/>
    <w:rsid w:val="37201F64"/>
    <w:rsid w:val="373F53DD"/>
    <w:rsid w:val="374C04C6"/>
    <w:rsid w:val="37535BF4"/>
    <w:rsid w:val="375948AC"/>
    <w:rsid w:val="376B28D6"/>
    <w:rsid w:val="376C0D7B"/>
    <w:rsid w:val="376C5D00"/>
    <w:rsid w:val="376E276D"/>
    <w:rsid w:val="37A04E93"/>
    <w:rsid w:val="37AA5D9B"/>
    <w:rsid w:val="37C6420E"/>
    <w:rsid w:val="37D22ED3"/>
    <w:rsid w:val="37EA0A17"/>
    <w:rsid w:val="380A7603"/>
    <w:rsid w:val="380B0BB2"/>
    <w:rsid w:val="380D32F1"/>
    <w:rsid w:val="380D5D0D"/>
    <w:rsid w:val="38243947"/>
    <w:rsid w:val="38277161"/>
    <w:rsid w:val="382F1B72"/>
    <w:rsid w:val="382F2C1E"/>
    <w:rsid w:val="3871463E"/>
    <w:rsid w:val="38716CD9"/>
    <w:rsid w:val="387A3DF1"/>
    <w:rsid w:val="38801C6C"/>
    <w:rsid w:val="38851608"/>
    <w:rsid w:val="38955725"/>
    <w:rsid w:val="389F2071"/>
    <w:rsid w:val="38A45712"/>
    <w:rsid w:val="38A47DD9"/>
    <w:rsid w:val="38B03BEB"/>
    <w:rsid w:val="38B04451"/>
    <w:rsid w:val="38CC35B4"/>
    <w:rsid w:val="38D10166"/>
    <w:rsid w:val="38F103FB"/>
    <w:rsid w:val="38FB7C36"/>
    <w:rsid w:val="39207FD2"/>
    <w:rsid w:val="392A318C"/>
    <w:rsid w:val="392E645D"/>
    <w:rsid w:val="3933207C"/>
    <w:rsid w:val="39341BE2"/>
    <w:rsid w:val="393947EE"/>
    <w:rsid w:val="394B37F2"/>
    <w:rsid w:val="394E0F10"/>
    <w:rsid w:val="39532C2F"/>
    <w:rsid w:val="395614B5"/>
    <w:rsid w:val="39756BD2"/>
    <w:rsid w:val="39902E39"/>
    <w:rsid w:val="39985F30"/>
    <w:rsid w:val="39AF23DC"/>
    <w:rsid w:val="39D3500A"/>
    <w:rsid w:val="39D620EE"/>
    <w:rsid w:val="39D96419"/>
    <w:rsid w:val="39E55169"/>
    <w:rsid w:val="39E84553"/>
    <w:rsid w:val="39F4018B"/>
    <w:rsid w:val="39F72E22"/>
    <w:rsid w:val="39FA16F9"/>
    <w:rsid w:val="3A094E52"/>
    <w:rsid w:val="3A174971"/>
    <w:rsid w:val="3A273045"/>
    <w:rsid w:val="3A351385"/>
    <w:rsid w:val="3A390F42"/>
    <w:rsid w:val="3A3E4729"/>
    <w:rsid w:val="3A531C5D"/>
    <w:rsid w:val="3A675D63"/>
    <w:rsid w:val="3A792C24"/>
    <w:rsid w:val="3A7A647F"/>
    <w:rsid w:val="3A8C1EFF"/>
    <w:rsid w:val="3A9F7948"/>
    <w:rsid w:val="3AA02CE4"/>
    <w:rsid w:val="3AA628ED"/>
    <w:rsid w:val="3AAC6356"/>
    <w:rsid w:val="3AAF0D0B"/>
    <w:rsid w:val="3AB23C38"/>
    <w:rsid w:val="3AB704E3"/>
    <w:rsid w:val="3ABA4B72"/>
    <w:rsid w:val="3ABC5104"/>
    <w:rsid w:val="3AC76FD5"/>
    <w:rsid w:val="3ACE1617"/>
    <w:rsid w:val="3AD31906"/>
    <w:rsid w:val="3AD8364A"/>
    <w:rsid w:val="3AD969F8"/>
    <w:rsid w:val="3AE121D3"/>
    <w:rsid w:val="3AF12D23"/>
    <w:rsid w:val="3AFD1BC4"/>
    <w:rsid w:val="3B011CBF"/>
    <w:rsid w:val="3B366832"/>
    <w:rsid w:val="3B440E56"/>
    <w:rsid w:val="3B47510C"/>
    <w:rsid w:val="3B4C622A"/>
    <w:rsid w:val="3B634927"/>
    <w:rsid w:val="3B6C16EB"/>
    <w:rsid w:val="3B7F36AC"/>
    <w:rsid w:val="3B822235"/>
    <w:rsid w:val="3B861D2E"/>
    <w:rsid w:val="3B937808"/>
    <w:rsid w:val="3B9B72DD"/>
    <w:rsid w:val="3BC25680"/>
    <w:rsid w:val="3BC83BA3"/>
    <w:rsid w:val="3BD653F5"/>
    <w:rsid w:val="3BE16ECF"/>
    <w:rsid w:val="3BED0FCA"/>
    <w:rsid w:val="3BF9665A"/>
    <w:rsid w:val="3C112CD7"/>
    <w:rsid w:val="3C211965"/>
    <w:rsid w:val="3C226C56"/>
    <w:rsid w:val="3C431FC9"/>
    <w:rsid w:val="3C4B0ED5"/>
    <w:rsid w:val="3C5B0C3E"/>
    <w:rsid w:val="3C5C4417"/>
    <w:rsid w:val="3C650224"/>
    <w:rsid w:val="3C6C2EB8"/>
    <w:rsid w:val="3C792216"/>
    <w:rsid w:val="3C8D17F0"/>
    <w:rsid w:val="3C911941"/>
    <w:rsid w:val="3CA91418"/>
    <w:rsid w:val="3CAD34C9"/>
    <w:rsid w:val="3CB15451"/>
    <w:rsid w:val="3CB246E5"/>
    <w:rsid w:val="3CB8015D"/>
    <w:rsid w:val="3CBC1B56"/>
    <w:rsid w:val="3CBD75BF"/>
    <w:rsid w:val="3CC33BCC"/>
    <w:rsid w:val="3CD641A1"/>
    <w:rsid w:val="3CE2490A"/>
    <w:rsid w:val="3CEA648A"/>
    <w:rsid w:val="3D093637"/>
    <w:rsid w:val="3D1502D9"/>
    <w:rsid w:val="3D30516B"/>
    <w:rsid w:val="3D390582"/>
    <w:rsid w:val="3D3F406A"/>
    <w:rsid w:val="3D555673"/>
    <w:rsid w:val="3D5657CC"/>
    <w:rsid w:val="3D5D2E26"/>
    <w:rsid w:val="3D697A4C"/>
    <w:rsid w:val="3D876DDA"/>
    <w:rsid w:val="3D8C35CB"/>
    <w:rsid w:val="3D8E5ECA"/>
    <w:rsid w:val="3D994302"/>
    <w:rsid w:val="3DA6750A"/>
    <w:rsid w:val="3DB21166"/>
    <w:rsid w:val="3DB52FFB"/>
    <w:rsid w:val="3DB8539D"/>
    <w:rsid w:val="3DB932B8"/>
    <w:rsid w:val="3DCE5EF9"/>
    <w:rsid w:val="3DDF3C84"/>
    <w:rsid w:val="3DE57777"/>
    <w:rsid w:val="3DF17D30"/>
    <w:rsid w:val="3DF55B8D"/>
    <w:rsid w:val="3DF740D2"/>
    <w:rsid w:val="3E18436C"/>
    <w:rsid w:val="3E195A9F"/>
    <w:rsid w:val="3E1E0DE6"/>
    <w:rsid w:val="3E2942BE"/>
    <w:rsid w:val="3E300439"/>
    <w:rsid w:val="3E320B89"/>
    <w:rsid w:val="3E3906BC"/>
    <w:rsid w:val="3E462526"/>
    <w:rsid w:val="3E553263"/>
    <w:rsid w:val="3E5648B2"/>
    <w:rsid w:val="3E5709F3"/>
    <w:rsid w:val="3E667CEF"/>
    <w:rsid w:val="3E684241"/>
    <w:rsid w:val="3E75521D"/>
    <w:rsid w:val="3E83245B"/>
    <w:rsid w:val="3E8412E9"/>
    <w:rsid w:val="3E9328AF"/>
    <w:rsid w:val="3EBC27E6"/>
    <w:rsid w:val="3EC46403"/>
    <w:rsid w:val="3EDC10D0"/>
    <w:rsid w:val="3EE10368"/>
    <w:rsid w:val="3EEE2BBE"/>
    <w:rsid w:val="3EF13BC7"/>
    <w:rsid w:val="3EF53D00"/>
    <w:rsid w:val="3EF94FFC"/>
    <w:rsid w:val="3F0C4369"/>
    <w:rsid w:val="3F2F53AA"/>
    <w:rsid w:val="3F3073B8"/>
    <w:rsid w:val="3F3725C6"/>
    <w:rsid w:val="3F493F5C"/>
    <w:rsid w:val="3F536673"/>
    <w:rsid w:val="3F5A79F3"/>
    <w:rsid w:val="3F5D2E4D"/>
    <w:rsid w:val="3F5F1F5C"/>
    <w:rsid w:val="3F6A5EE0"/>
    <w:rsid w:val="3F7E7531"/>
    <w:rsid w:val="3F8A14CB"/>
    <w:rsid w:val="3F9120E3"/>
    <w:rsid w:val="3F9E0865"/>
    <w:rsid w:val="3FA5009E"/>
    <w:rsid w:val="3FA97081"/>
    <w:rsid w:val="3FC94921"/>
    <w:rsid w:val="3FD02AA6"/>
    <w:rsid w:val="3FD50D82"/>
    <w:rsid w:val="3FDB1475"/>
    <w:rsid w:val="3FDE5AD9"/>
    <w:rsid w:val="3FE56AF2"/>
    <w:rsid w:val="3FF32979"/>
    <w:rsid w:val="40007A90"/>
    <w:rsid w:val="401C0DE9"/>
    <w:rsid w:val="401C7BD5"/>
    <w:rsid w:val="402417C8"/>
    <w:rsid w:val="40372073"/>
    <w:rsid w:val="403D4A3A"/>
    <w:rsid w:val="404A114E"/>
    <w:rsid w:val="404D09BE"/>
    <w:rsid w:val="404F52A8"/>
    <w:rsid w:val="406C4BC1"/>
    <w:rsid w:val="406D6BF8"/>
    <w:rsid w:val="40790653"/>
    <w:rsid w:val="40860450"/>
    <w:rsid w:val="40942502"/>
    <w:rsid w:val="40971DD6"/>
    <w:rsid w:val="4099574E"/>
    <w:rsid w:val="40AA46A6"/>
    <w:rsid w:val="40B6211F"/>
    <w:rsid w:val="40C2573C"/>
    <w:rsid w:val="40D01BF9"/>
    <w:rsid w:val="40D34024"/>
    <w:rsid w:val="40D43BA0"/>
    <w:rsid w:val="40E241CE"/>
    <w:rsid w:val="40EA78D7"/>
    <w:rsid w:val="40EC35D0"/>
    <w:rsid w:val="40EC510F"/>
    <w:rsid w:val="40EF5D43"/>
    <w:rsid w:val="412912D7"/>
    <w:rsid w:val="41366B89"/>
    <w:rsid w:val="41554B41"/>
    <w:rsid w:val="41627D8E"/>
    <w:rsid w:val="41643D6B"/>
    <w:rsid w:val="416C0643"/>
    <w:rsid w:val="417137CD"/>
    <w:rsid w:val="41771599"/>
    <w:rsid w:val="418E52EE"/>
    <w:rsid w:val="41A04E11"/>
    <w:rsid w:val="41AE2885"/>
    <w:rsid w:val="41CA6260"/>
    <w:rsid w:val="41DB0F0D"/>
    <w:rsid w:val="41E529E0"/>
    <w:rsid w:val="41F029FA"/>
    <w:rsid w:val="420558C2"/>
    <w:rsid w:val="42057B28"/>
    <w:rsid w:val="4208470E"/>
    <w:rsid w:val="420874B4"/>
    <w:rsid w:val="420B00B7"/>
    <w:rsid w:val="420D0A6A"/>
    <w:rsid w:val="421052B2"/>
    <w:rsid w:val="42190CC2"/>
    <w:rsid w:val="422F31A8"/>
    <w:rsid w:val="422F36E3"/>
    <w:rsid w:val="42407C97"/>
    <w:rsid w:val="42491125"/>
    <w:rsid w:val="42521DD1"/>
    <w:rsid w:val="42561FD9"/>
    <w:rsid w:val="425C1690"/>
    <w:rsid w:val="42685900"/>
    <w:rsid w:val="427A44C2"/>
    <w:rsid w:val="42880654"/>
    <w:rsid w:val="428D14EF"/>
    <w:rsid w:val="4296187E"/>
    <w:rsid w:val="429B2F25"/>
    <w:rsid w:val="429B4AA7"/>
    <w:rsid w:val="42A65AF0"/>
    <w:rsid w:val="42AD56C6"/>
    <w:rsid w:val="42C7120C"/>
    <w:rsid w:val="42CD0A84"/>
    <w:rsid w:val="42FF71DC"/>
    <w:rsid w:val="42FF7548"/>
    <w:rsid w:val="43082441"/>
    <w:rsid w:val="432B1FC3"/>
    <w:rsid w:val="43346B04"/>
    <w:rsid w:val="433D6326"/>
    <w:rsid w:val="434315F5"/>
    <w:rsid w:val="434D155D"/>
    <w:rsid w:val="43565589"/>
    <w:rsid w:val="435E53D9"/>
    <w:rsid w:val="43687A72"/>
    <w:rsid w:val="4371130B"/>
    <w:rsid w:val="437A0D2C"/>
    <w:rsid w:val="438607EE"/>
    <w:rsid w:val="43903AE3"/>
    <w:rsid w:val="43911F91"/>
    <w:rsid w:val="4394491A"/>
    <w:rsid w:val="43997A97"/>
    <w:rsid w:val="439E77C7"/>
    <w:rsid w:val="43A16902"/>
    <w:rsid w:val="43BD5DE5"/>
    <w:rsid w:val="43CC2FC9"/>
    <w:rsid w:val="43CC6430"/>
    <w:rsid w:val="43CF5AE2"/>
    <w:rsid w:val="43D122B4"/>
    <w:rsid w:val="43D65E39"/>
    <w:rsid w:val="43D6606E"/>
    <w:rsid w:val="43E63B73"/>
    <w:rsid w:val="43F01F04"/>
    <w:rsid w:val="43FE3B45"/>
    <w:rsid w:val="441111D7"/>
    <w:rsid w:val="44204C51"/>
    <w:rsid w:val="442A6265"/>
    <w:rsid w:val="442D64E6"/>
    <w:rsid w:val="44366A11"/>
    <w:rsid w:val="443B3A4C"/>
    <w:rsid w:val="444B0AC4"/>
    <w:rsid w:val="444C64B0"/>
    <w:rsid w:val="444D54BA"/>
    <w:rsid w:val="44607171"/>
    <w:rsid w:val="44655746"/>
    <w:rsid w:val="447408F6"/>
    <w:rsid w:val="44742FDB"/>
    <w:rsid w:val="447636BF"/>
    <w:rsid w:val="447E086E"/>
    <w:rsid w:val="44951997"/>
    <w:rsid w:val="449A2F3D"/>
    <w:rsid w:val="449D508C"/>
    <w:rsid w:val="44B15AF7"/>
    <w:rsid w:val="44B36E39"/>
    <w:rsid w:val="44BB57F3"/>
    <w:rsid w:val="44C83058"/>
    <w:rsid w:val="44D83825"/>
    <w:rsid w:val="44DC2E06"/>
    <w:rsid w:val="44EC7013"/>
    <w:rsid w:val="44F02519"/>
    <w:rsid w:val="44FB3AE3"/>
    <w:rsid w:val="44FF3C64"/>
    <w:rsid w:val="45061393"/>
    <w:rsid w:val="45166A26"/>
    <w:rsid w:val="45427AA4"/>
    <w:rsid w:val="45515DC5"/>
    <w:rsid w:val="455454A2"/>
    <w:rsid w:val="45564CA5"/>
    <w:rsid w:val="455B6233"/>
    <w:rsid w:val="456A6A48"/>
    <w:rsid w:val="457C3D14"/>
    <w:rsid w:val="45847827"/>
    <w:rsid w:val="45865E2C"/>
    <w:rsid w:val="458A0C08"/>
    <w:rsid w:val="45911A43"/>
    <w:rsid w:val="4591530D"/>
    <w:rsid w:val="45A16423"/>
    <w:rsid w:val="45A24E61"/>
    <w:rsid w:val="45B457B5"/>
    <w:rsid w:val="45C63F33"/>
    <w:rsid w:val="45C849A3"/>
    <w:rsid w:val="45DA1DB7"/>
    <w:rsid w:val="45DE2657"/>
    <w:rsid w:val="45ED4675"/>
    <w:rsid w:val="45F10EC5"/>
    <w:rsid w:val="45FE10BA"/>
    <w:rsid w:val="460F4303"/>
    <w:rsid w:val="462E7E70"/>
    <w:rsid w:val="463144E8"/>
    <w:rsid w:val="46335004"/>
    <w:rsid w:val="46424079"/>
    <w:rsid w:val="46546E59"/>
    <w:rsid w:val="466317E7"/>
    <w:rsid w:val="466E3CCD"/>
    <w:rsid w:val="4676381B"/>
    <w:rsid w:val="46764E6B"/>
    <w:rsid w:val="467744FD"/>
    <w:rsid w:val="46A746F1"/>
    <w:rsid w:val="46A9467B"/>
    <w:rsid w:val="46A9603F"/>
    <w:rsid w:val="46AF30F0"/>
    <w:rsid w:val="46B10C8E"/>
    <w:rsid w:val="46D046FE"/>
    <w:rsid w:val="46D808B3"/>
    <w:rsid w:val="46E12276"/>
    <w:rsid w:val="46E43E05"/>
    <w:rsid w:val="46F03580"/>
    <w:rsid w:val="46F51A7F"/>
    <w:rsid w:val="47140188"/>
    <w:rsid w:val="4714637D"/>
    <w:rsid w:val="4718310F"/>
    <w:rsid w:val="472033C0"/>
    <w:rsid w:val="47280D0D"/>
    <w:rsid w:val="47424AC3"/>
    <w:rsid w:val="47444019"/>
    <w:rsid w:val="47581629"/>
    <w:rsid w:val="475D30AC"/>
    <w:rsid w:val="476B7898"/>
    <w:rsid w:val="47700B34"/>
    <w:rsid w:val="477A6B40"/>
    <w:rsid w:val="478445F6"/>
    <w:rsid w:val="47974276"/>
    <w:rsid w:val="479C078C"/>
    <w:rsid w:val="47B32E9C"/>
    <w:rsid w:val="47B91B7D"/>
    <w:rsid w:val="47B922BA"/>
    <w:rsid w:val="47CB21D4"/>
    <w:rsid w:val="47ED7291"/>
    <w:rsid w:val="47F3564B"/>
    <w:rsid w:val="47F46C1C"/>
    <w:rsid w:val="47FE7658"/>
    <w:rsid w:val="48072039"/>
    <w:rsid w:val="480B19F6"/>
    <w:rsid w:val="480E7E09"/>
    <w:rsid w:val="481D675B"/>
    <w:rsid w:val="482109E5"/>
    <w:rsid w:val="48212AE9"/>
    <w:rsid w:val="48281A14"/>
    <w:rsid w:val="484D05AF"/>
    <w:rsid w:val="48547F3A"/>
    <w:rsid w:val="48580B3F"/>
    <w:rsid w:val="4860088B"/>
    <w:rsid w:val="486266B3"/>
    <w:rsid w:val="486C4CE7"/>
    <w:rsid w:val="487216E8"/>
    <w:rsid w:val="487F72A6"/>
    <w:rsid w:val="488536D4"/>
    <w:rsid w:val="489362BA"/>
    <w:rsid w:val="489713C3"/>
    <w:rsid w:val="48A262B1"/>
    <w:rsid w:val="48A61EC2"/>
    <w:rsid w:val="48BA3284"/>
    <w:rsid w:val="48CB1603"/>
    <w:rsid w:val="48CB1CC0"/>
    <w:rsid w:val="48CE174F"/>
    <w:rsid w:val="48DB522F"/>
    <w:rsid w:val="48DB71B2"/>
    <w:rsid w:val="48E0782A"/>
    <w:rsid w:val="48E66D59"/>
    <w:rsid w:val="48FC0CB1"/>
    <w:rsid w:val="49013C23"/>
    <w:rsid w:val="490A37AF"/>
    <w:rsid w:val="490A52ED"/>
    <w:rsid w:val="490C3583"/>
    <w:rsid w:val="49163580"/>
    <w:rsid w:val="491E6E1E"/>
    <w:rsid w:val="491F7F64"/>
    <w:rsid w:val="492A1BD4"/>
    <w:rsid w:val="49582843"/>
    <w:rsid w:val="49733467"/>
    <w:rsid w:val="498C4932"/>
    <w:rsid w:val="49A418F2"/>
    <w:rsid w:val="49AB26EA"/>
    <w:rsid w:val="49AD5BED"/>
    <w:rsid w:val="49BE170B"/>
    <w:rsid w:val="49C8100A"/>
    <w:rsid w:val="49D50EEC"/>
    <w:rsid w:val="49FD4166"/>
    <w:rsid w:val="49FF2037"/>
    <w:rsid w:val="4A0A7F62"/>
    <w:rsid w:val="4A1D00AC"/>
    <w:rsid w:val="4A260774"/>
    <w:rsid w:val="4A270A04"/>
    <w:rsid w:val="4A36625B"/>
    <w:rsid w:val="4A3B71DB"/>
    <w:rsid w:val="4A414188"/>
    <w:rsid w:val="4A47591B"/>
    <w:rsid w:val="4A4C4C82"/>
    <w:rsid w:val="4A6F608D"/>
    <w:rsid w:val="4A767F31"/>
    <w:rsid w:val="4A885CE1"/>
    <w:rsid w:val="4A920621"/>
    <w:rsid w:val="4A9452E5"/>
    <w:rsid w:val="4A9F2D3A"/>
    <w:rsid w:val="4ABA66FB"/>
    <w:rsid w:val="4ABE4F66"/>
    <w:rsid w:val="4ABF0894"/>
    <w:rsid w:val="4AC76EC6"/>
    <w:rsid w:val="4ACC37A5"/>
    <w:rsid w:val="4ACC5242"/>
    <w:rsid w:val="4ADA0BDD"/>
    <w:rsid w:val="4ADB4E28"/>
    <w:rsid w:val="4ADC40E1"/>
    <w:rsid w:val="4ADF16B3"/>
    <w:rsid w:val="4AF16114"/>
    <w:rsid w:val="4AF75899"/>
    <w:rsid w:val="4B016AF9"/>
    <w:rsid w:val="4B170E1E"/>
    <w:rsid w:val="4B1A46C6"/>
    <w:rsid w:val="4B2517BD"/>
    <w:rsid w:val="4B333D7A"/>
    <w:rsid w:val="4B3422A0"/>
    <w:rsid w:val="4B423A85"/>
    <w:rsid w:val="4B431506"/>
    <w:rsid w:val="4B4D3A8C"/>
    <w:rsid w:val="4B515A7A"/>
    <w:rsid w:val="4B5523AC"/>
    <w:rsid w:val="4B562725"/>
    <w:rsid w:val="4B693CDC"/>
    <w:rsid w:val="4B6F57B6"/>
    <w:rsid w:val="4BA73A3D"/>
    <w:rsid w:val="4BB31E0A"/>
    <w:rsid w:val="4BC60804"/>
    <w:rsid w:val="4BC74E08"/>
    <w:rsid w:val="4BCF4885"/>
    <w:rsid w:val="4BD07997"/>
    <w:rsid w:val="4BDF3E16"/>
    <w:rsid w:val="4BF722AF"/>
    <w:rsid w:val="4BFA3233"/>
    <w:rsid w:val="4C1003D8"/>
    <w:rsid w:val="4C1705E5"/>
    <w:rsid w:val="4C203473"/>
    <w:rsid w:val="4C2F2351"/>
    <w:rsid w:val="4C352DA8"/>
    <w:rsid w:val="4C366477"/>
    <w:rsid w:val="4C376F62"/>
    <w:rsid w:val="4C381F65"/>
    <w:rsid w:val="4C476DF2"/>
    <w:rsid w:val="4C6E6BF7"/>
    <w:rsid w:val="4C6F66E5"/>
    <w:rsid w:val="4C786851"/>
    <w:rsid w:val="4C7A548D"/>
    <w:rsid w:val="4C942881"/>
    <w:rsid w:val="4CA966A6"/>
    <w:rsid w:val="4CAE507C"/>
    <w:rsid w:val="4CAF266F"/>
    <w:rsid w:val="4CB229E2"/>
    <w:rsid w:val="4CC13ECD"/>
    <w:rsid w:val="4CD020F9"/>
    <w:rsid w:val="4CD828C2"/>
    <w:rsid w:val="4D0B17EF"/>
    <w:rsid w:val="4D0E4802"/>
    <w:rsid w:val="4D1D2CFA"/>
    <w:rsid w:val="4D2F7723"/>
    <w:rsid w:val="4D341EFD"/>
    <w:rsid w:val="4D406BD1"/>
    <w:rsid w:val="4D4D4DE8"/>
    <w:rsid w:val="4D5047B5"/>
    <w:rsid w:val="4D576F61"/>
    <w:rsid w:val="4D5C53F9"/>
    <w:rsid w:val="4D5F3D23"/>
    <w:rsid w:val="4D605A45"/>
    <w:rsid w:val="4D76573F"/>
    <w:rsid w:val="4D7E6C33"/>
    <w:rsid w:val="4D831E51"/>
    <w:rsid w:val="4D942472"/>
    <w:rsid w:val="4DA44E4F"/>
    <w:rsid w:val="4DAA4C62"/>
    <w:rsid w:val="4DAD5FAE"/>
    <w:rsid w:val="4DC275EA"/>
    <w:rsid w:val="4DCE74AD"/>
    <w:rsid w:val="4DD827C4"/>
    <w:rsid w:val="4DDD0570"/>
    <w:rsid w:val="4DF521AC"/>
    <w:rsid w:val="4E0A2800"/>
    <w:rsid w:val="4E0D58C8"/>
    <w:rsid w:val="4E154828"/>
    <w:rsid w:val="4E222649"/>
    <w:rsid w:val="4E244D2D"/>
    <w:rsid w:val="4E464F13"/>
    <w:rsid w:val="4E5079C5"/>
    <w:rsid w:val="4E5C1FD5"/>
    <w:rsid w:val="4E610044"/>
    <w:rsid w:val="4E623BD3"/>
    <w:rsid w:val="4E7906E7"/>
    <w:rsid w:val="4E837C45"/>
    <w:rsid w:val="4E9108A9"/>
    <w:rsid w:val="4E945B54"/>
    <w:rsid w:val="4E993495"/>
    <w:rsid w:val="4E9B0304"/>
    <w:rsid w:val="4EA30D9D"/>
    <w:rsid w:val="4EA31AE4"/>
    <w:rsid w:val="4EB2058C"/>
    <w:rsid w:val="4EB60C48"/>
    <w:rsid w:val="4EDE147E"/>
    <w:rsid w:val="4EE01C69"/>
    <w:rsid w:val="4EE66F64"/>
    <w:rsid w:val="4EEA3967"/>
    <w:rsid w:val="4EEF1B44"/>
    <w:rsid w:val="4F012635"/>
    <w:rsid w:val="4F0A27C3"/>
    <w:rsid w:val="4F0F005F"/>
    <w:rsid w:val="4F165D52"/>
    <w:rsid w:val="4F190BD2"/>
    <w:rsid w:val="4F1D369F"/>
    <w:rsid w:val="4F213A90"/>
    <w:rsid w:val="4F290247"/>
    <w:rsid w:val="4F323CD2"/>
    <w:rsid w:val="4F332C0A"/>
    <w:rsid w:val="4F383685"/>
    <w:rsid w:val="4F433DC8"/>
    <w:rsid w:val="4F4510BC"/>
    <w:rsid w:val="4F4B51A5"/>
    <w:rsid w:val="4F545D86"/>
    <w:rsid w:val="4F5F1347"/>
    <w:rsid w:val="4F896D46"/>
    <w:rsid w:val="4F937C92"/>
    <w:rsid w:val="4F974D24"/>
    <w:rsid w:val="4FA03E0F"/>
    <w:rsid w:val="4FA14EEC"/>
    <w:rsid w:val="4FA84227"/>
    <w:rsid w:val="4FB73F54"/>
    <w:rsid w:val="4FC231DA"/>
    <w:rsid w:val="4FE223EE"/>
    <w:rsid w:val="4FE3097A"/>
    <w:rsid w:val="4FFD3A77"/>
    <w:rsid w:val="501F59A7"/>
    <w:rsid w:val="503642D7"/>
    <w:rsid w:val="503D3F59"/>
    <w:rsid w:val="504C7CCA"/>
    <w:rsid w:val="5051178F"/>
    <w:rsid w:val="5063027C"/>
    <w:rsid w:val="50650862"/>
    <w:rsid w:val="50681179"/>
    <w:rsid w:val="50714B90"/>
    <w:rsid w:val="50727177"/>
    <w:rsid w:val="507A5A38"/>
    <w:rsid w:val="50812723"/>
    <w:rsid w:val="50864F3F"/>
    <w:rsid w:val="5091713A"/>
    <w:rsid w:val="5095674A"/>
    <w:rsid w:val="50997687"/>
    <w:rsid w:val="50A01EE7"/>
    <w:rsid w:val="50A070FC"/>
    <w:rsid w:val="50A6221C"/>
    <w:rsid w:val="50AC4C20"/>
    <w:rsid w:val="50B61B8B"/>
    <w:rsid w:val="50C13C5F"/>
    <w:rsid w:val="50C16C1C"/>
    <w:rsid w:val="50C44491"/>
    <w:rsid w:val="50C577D9"/>
    <w:rsid w:val="50DD17B8"/>
    <w:rsid w:val="50E00158"/>
    <w:rsid w:val="50E8434B"/>
    <w:rsid w:val="50F0291C"/>
    <w:rsid w:val="50F5073D"/>
    <w:rsid w:val="51183F80"/>
    <w:rsid w:val="51286AE9"/>
    <w:rsid w:val="512B131B"/>
    <w:rsid w:val="514946EA"/>
    <w:rsid w:val="514B6FAD"/>
    <w:rsid w:val="515B2086"/>
    <w:rsid w:val="516C5BB7"/>
    <w:rsid w:val="516C7135"/>
    <w:rsid w:val="51780964"/>
    <w:rsid w:val="51881606"/>
    <w:rsid w:val="518E2820"/>
    <w:rsid w:val="519E249A"/>
    <w:rsid w:val="51AB1BAD"/>
    <w:rsid w:val="51AC5137"/>
    <w:rsid w:val="51B4195C"/>
    <w:rsid w:val="51B463DB"/>
    <w:rsid w:val="51BD215F"/>
    <w:rsid w:val="51C24E31"/>
    <w:rsid w:val="51C31254"/>
    <w:rsid w:val="51C979DD"/>
    <w:rsid w:val="51D20DCB"/>
    <w:rsid w:val="51FB199F"/>
    <w:rsid w:val="520A22AE"/>
    <w:rsid w:val="521974CD"/>
    <w:rsid w:val="522143CD"/>
    <w:rsid w:val="52247A0F"/>
    <w:rsid w:val="522A0742"/>
    <w:rsid w:val="52385792"/>
    <w:rsid w:val="523D42DD"/>
    <w:rsid w:val="523F6AFF"/>
    <w:rsid w:val="524B2DC8"/>
    <w:rsid w:val="524F31BF"/>
    <w:rsid w:val="52514A0D"/>
    <w:rsid w:val="525748A7"/>
    <w:rsid w:val="5271569A"/>
    <w:rsid w:val="5273265C"/>
    <w:rsid w:val="52740E11"/>
    <w:rsid w:val="527B5D61"/>
    <w:rsid w:val="52853336"/>
    <w:rsid w:val="52881D50"/>
    <w:rsid w:val="52991222"/>
    <w:rsid w:val="529B3EC4"/>
    <w:rsid w:val="529C6295"/>
    <w:rsid w:val="529C7876"/>
    <w:rsid w:val="52B0368A"/>
    <w:rsid w:val="52B857AB"/>
    <w:rsid w:val="52BC72D9"/>
    <w:rsid w:val="52DA5D7A"/>
    <w:rsid w:val="52DB19FD"/>
    <w:rsid w:val="52EE339D"/>
    <w:rsid w:val="530174D7"/>
    <w:rsid w:val="5306292A"/>
    <w:rsid w:val="530822C8"/>
    <w:rsid w:val="53180FAF"/>
    <w:rsid w:val="53317508"/>
    <w:rsid w:val="533B6910"/>
    <w:rsid w:val="533E1E81"/>
    <w:rsid w:val="53445C3B"/>
    <w:rsid w:val="534B7333"/>
    <w:rsid w:val="535B246C"/>
    <w:rsid w:val="536C234B"/>
    <w:rsid w:val="536F3F83"/>
    <w:rsid w:val="53703E8D"/>
    <w:rsid w:val="53707DDE"/>
    <w:rsid w:val="537E0058"/>
    <w:rsid w:val="53943296"/>
    <w:rsid w:val="53950AA6"/>
    <w:rsid w:val="53955656"/>
    <w:rsid w:val="539605FB"/>
    <w:rsid w:val="53A909D1"/>
    <w:rsid w:val="53B2385F"/>
    <w:rsid w:val="53C057E0"/>
    <w:rsid w:val="53C15DE9"/>
    <w:rsid w:val="53C502CE"/>
    <w:rsid w:val="53C51DA6"/>
    <w:rsid w:val="53D02F55"/>
    <w:rsid w:val="53E12D9E"/>
    <w:rsid w:val="53E64B1C"/>
    <w:rsid w:val="53E8652B"/>
    <w:rsid w:val="53EB486A"/>
    <w:rsid w:val="53EE23BF"/>
    <w:rsid w:val="53EE67E9"/>
    <w:rsid w:val="53FD1C03"/>
    <w:rsid w:val="54005B5D"/>
    <w:rsid w:val="54020BC2"/>
    <w:rsid w:val="540310FA"/>
    <w:rsid w:val="54037045"/>
    <w:rsid w:val="540817F6"/>
    <w:rsid w:val="54122738"/>
    <w:rsid w:val="541858A6"/>
    <w:rsid w:val="541F77E0"/>
    <w:rsid w:val="541F78A1"/>
    <w:rsid w:val="54270E2A"/>
    <w:rsid w:val="543E515D"/>
    <w:rsid w:val="543F413B"/>
    <w:rsid w:val="54411D2F"/>
    <w:rsid w:val="5443534C"/>
    <w:rsid w:val="544B0D54"/>
    <w:rsid w:val="545114AC"/>
    <w:rsid w:val="54526853"/>
    <w:rsid w:val="54591CDE"/>
    <w:rsid w:val="545952F2"/>
    <w:rsid w:val="54625354"/>
    <w:rsid w:val="5469558C"/>
    <w:rsid w:val="5475517B"/>
    <w:rsid w:val="54984A43"/>
    <w:rsid w:val="54B61E08"/>
    <w:rsid w:val="54BE461D"/>
    <w:rsid w:val="54C557E7"/>
    <w:rsid w:val="54C65EC0"/>
    <w:rsid w:val="54D43100"/>
    <w:rsid w:val="552760F6"/>
    <w:rsid w:val="552A09F4"/>
    <w:rsid w:val="5532296D"/>
    <w:rsid w:val="55364E5B"/>
    <w:rsid w:val="55452810"/>
    <w:rsid w:val="55466A7B"/>
    <w:rsid w:val="555154EE"/>
    <w:rsid w:val="558F4A1E"/>
    <w:rsid w:val="55942252"/>
    <w:rsid w:val="55987FBD"/>
    <w:rsid w:val="55AA4F0C"/>
    <w:rsid w:val="55B41C64"/>
    <w:rsid w:val="55C57C53"/>
    <w:rsid w:val="55E34DF9"/>
    <w:rsid w:val="55EC2897"/>
    <w:rsid w:val="55F0187C"/>
    <w:rsid w:val="55FA242D"/>
    <w:rsid w:val="560F6587"/>
    <w:rsid w:val="5630640C"/>
    <w:rsid w:val="564146CF"/>
    <w:rsid w:val="564B32E4"/>
    <w:rsid w:val="5652511E"/>
    <w:rsid w:val="5652573E"/>
    <w:rsid w:val="565259A5"/>
    <w:rsid w:val="56543A0D"/>
    <w:rsid w:val="5658232F"/>
    <w:rsid w:val="56686EA1"/>
    <w:rsid w:val="566B01D5"/>
    <w:rsid w:val="566B50BC"/>
    <w:rsid w:val="56754367"/>
    <w:rsid w:val="56860213"/>
    <w:rsid w:val="569E1AC8"/>
    <w:rsid w:val="56A4132F"/>
    <w:rsid w:val="56AC279F"/>
    <w:rsid w:val="56AF2E6F"/>
    <w:rsid w:val="56BE671B"/>
    <w:rsid w:val="56D51F0A"/>
    <w:rsid w:val="56DF0963"/>
    <w:rsid w:val="56E00193"/>
    <w:rsid w:val="56E2575C"/>
    <w:rsid w:val="56E8285C"/>
    <w:rsid w:val="56F37D3E"/>
    <w:rsid w:val="56F473C0"/>
    <w:rsid w:val="56FD3D8C"/>
    <w:rsid w:val="56FE31A5"/>
    <w:rsid w:val="57065F83"/>
    <w:rsid w:val="57097BE4"/>
    <w:rsid w:val="570B6550"/>
    <w:rsid w:val="570E1847"/>
    <w:rsid w:val="57196157"/>
    <w:rsid w:val="573434A1"/>
    <w:rsid w:val="57460250"/>
    <w:rsid w:val="57484C26"/>
    <w:rsid w:val="5758628A"/>
    <w:rsid w:val="57745BB6"/>
    <w:rsid w:val="57855787"/>
    <w:rsid w:val="578A1BF3"/>
    <w:rsid w:val="579927C7"/>
    <w:rsid w:val="57B02739"/>
    <w:rsid w:val="57B439EF"/>
    <w:rsid w:val="57BD6C04"/>
    <w:rsid w:val="57C51573"/>
    <w:rsid w:val="57D6036B"/>
    <w:rsid w:val="57DE28CC"/>
    <w:rsid w:val="57DF5B52"/>
    <w:rsid w:val="57FF606E"/>
    <w:rsid w:val="580032F4"/>
    <w:rsid w:val="580716CC"/>
    <w:rsid w:val="58220A26"/>
    <w:rsid w:val="58302FD6"/>
    <w:rsid w:val="58381DBD"/>
    <w:rsid w:val="58382405"/>
    <w:rsid w:val="58394C38"/>
    <w:rsid w:val="58423CCA"/>
    <w:rsid w:val="58432BD9"/>
    <w:rsid w:val="584B7C06"/>
    <w:rsid w:val="58510290"/>
    <w:rsid w:val="58553578"/>
    <w:rsid w:val="58553705"/>
    <w:rsid w:val="5855370B"/>
    <w:rsid w:val="58570D1A"/>
    <w:rsid w:val="58590F71"/>
    <w:rsid w:val="58593D0B"/>
    <w:rsid w:val="58784669"/>
    <w:rsid w:val="58A80E04"/>
    <w:rsid w:val="58B31DD9"/>
    <w:rsid w:val="58B91125"/>
    <w:rsid w:val="58BE2FA8"/>
    <w:rsid w:val="58C52932"/>
    <w:rsid w:val="58C64CF3"/>
    <w:rsid w:val="58CB3B78"/>
    <w:rsid w:val="58CD4560"/>
    <w:rsid w:val="58D21B64"/>
    <w:rsid w:val="58E50210"/>
    <w:rsid w:val="58E52E67"/>
    <w:rsid w:val="590D2328"/>
    <w:rsid w:val="590F51DD"/>
    <w:rsid w:val="591C4848"/>
    <w:rsid w:val="591E2294"/>
    <w:rsid w:val="59232C0B"/>
    <w:rsid w:val="59382C1D"/>
    <w:rsid w:val="593A62F9"/>
    <w:rsid w:val="59421BB2"/>
    <w:rsid w:val="594B4FD2"/>
    <w:rsid w:val="594D06B7"/>
    <w:rsid w:val="595C599F"/>
    <w:rsid w:val="597A115C"/>
    <w:rsid w:val="598531B1"/>
    <w:rsid w:val="598A5B73"/>
    <w:rsid w:val="598D03EC"/>
    <w:rsid w:val="598D6E21"/>
    <w:rsid w:val="598D7696"/>
    <w:rsid w:val="59901ABC"/>
    <w:rsid w:val="599C0038"/>
    <w:rsid w:val="599F6487"/>
    <w:rsid w:val="59AC73AD"/>
    <w:rsid w:val="59B04427"/>
    <w:rsid w:val="59B377F3"/>
    <w:rsid w:val="59B6573E"/>
    <w:rsid w:val="59C43D4D"/>
    <w:rsid w:val="59C83A39"/>
    <w:rsid w:val="59C866FB"/>
    <w:rsid w:val="59D26531"/>
    <w:rsid w:val="59FB18DA"/>
    <w:rsid w:val="5A160FDB"/>
    <w:rsid w:val="5A261DCD"/>
    <w:rsid w:val="5A361544"/>
    <w:rsid w:val="5A3F108A"/>
    <w:rsid w:val="5A491507"/>
    <w:rsid w:val="5A5B363C"/>
    <w:rsid w:val="5A6D76C0"/>
    <w:rsid w:val="5A723A0D"/>
    <w:rsid w:val="5A762255"/>
    <w:rsid w:val="5A833B0D"/>
    <w:rsid w:val="5A9D621A"/>
    <w:rsid w:val="5A9F0E86"/>
    <w:rsid w:val="5AB17106"/>
    <w:rsid w:val="5AB864BE"/>
    <w:rsid w:val="5ABE3A3F"/>
    <w:rsid w:val="5AC219D6"/>
    <w:rsid w:val="5AC77AAC"/>
    <w:rsid w:val="5AC94301"/>
    <w:rsid w:val="5ACF40CD"/>
    <w:rsid w:val="5AE67733"/>
    <w:rsid w:val="5AF57B23"/>
    <w:rsid w:val="5AFA65F2"/>
    <w:rsid w:val="5AFD3B96"/>
    <w:rsid w:val="5B0C640C"/>
    <w:rsid w:val="5B1142F4"/>
    <w:rsid w:val="5B170C5D"/>
    <w:rsid w:val="5B2D1B7A"/>
    <w:rsid w:val="5B2D305D"/>
    <w:rsid w:val="5B443E9C"/>
    <w:rsid w:val="5B4C1057"/>
    <w:rsid w:val="5B53327E"/>
    <w:rsid w:val="5B60602F"/>
    <w:rsid w:val="5B707739"/>
    <w:rsid w:val="5B7D7957"/>
    <w:rsid w:val="5B830BC2"/>
    <w:rsid w:val="5B8A7735"/>
    <w:rsid w:val="5B956906"/>
    <w:rsid w:val="5B987E52"/>
    <w:rsid w:val="5BAB48F4"/>
    <w:rsid w:val="5BB5441C"/>
    <w:rsid w:val="5BCE4EA4"/>
    <w:rsid w:val="5BD209C4"/>
    <w:rsid w:val="5BD637EC"/>
    <w:rsid w:val="5BDE5A43"/>
    <w:rsid w:val="5BE0323A"/>
    <w:rsid w:val="5BE80ED6"/>
    <w:rsid w:val="5C1679CD"/>
    <w:rsid w:val="5C1A362B"/>
    <w:rsid w:val="5C1B5EE5"/>
    <w:rsid w:val="5C1B7F5F"/>
    <w:rsid w:val="5C2D3BC9"/>
    <w:rsid w:val="5C34166A"/>
    <w:rsid w:val="5C4A36B7"/>
    <w:rsid w:val="5C4E44D4"/>
    <w:rsid w:val="5C5552A6"/>
    <w:rsid w:val="5C620B98"/>
    <w:rsid w:val="5C7F58F3"/>
    <w:rsid w:val="5C80234E"/>
    <w:rsid w:val="5C852810"/>
    <w:rsid w:val="5C9C5AD9"/>
    <w:rsid w:val="5C9F3478"/>
    <w:rsid w:val="5CB141A2"/>
    <w:rsid w:val="5CB85D2B"/>
    <w:rsid w:val="5CBA7E9A"/>
    <w:rsid w:val="5CC83DC7"/>
    <w:rsid w:val="5CD7479C"/>
    <w:rsid w:val="5CE536CF"/>
    <w:rsid w:val="5CE568F8"/>
    <w:rsid w:val="5CF33064"/>
    <w:rsid w:val="5D013D09"/>
    <w:rsid w:val="5D0536BD"/>
    <w:rsid w:val="5D0576C4"/>
    <w:rsid w:val="5D203E5D"/>
    <w:rsid w:val="5D230368"/>
    <w:rsid w:val="5D255730"/>
    <w:rsid w:val="5D27482D"/>
    <w:rsid w:val="5D364081"/>
    <w:rsid w:val="5D424AC5"/>
    <w:rsid w:val="5D5667E0"/>
    <w:rsid w:val="5D580881"/>
    <w:rsid w:val="5D6261CB"/>
    <w:rsid w:val="5D6974FD"/>
    <w:rsid w:val="5DA13534"/>
    <w:rsid w:val="5DB20A3B"/>
    <w:rsid w:val="5DC9382F"/>
    <w:rsid w:val="5DCB56EC"/>
    <w:rsid w:val="5DD14279"/>
    <w:rsid w:val="5DE05A00"/>
    <w:rsid w:val="5DE448D2"/>
    <w:rsid w:val="5DF441FF"/>
    <w:rsid w:val="5DF474C9"/>
    <w:rsid w:val="5E057AF6"/>
    <w:rsid w:val="5E1463C6"/>
    <w:rsid w:val="5E285722"/>
    <w:rsid w:val="5E3B4D31"/>
    <w:rsid w:val="5E3E65D1"/>
    <w:rsid w:val="5E496FC5"/>
    <w:rsid w:val="5E4B7A1D"/>
    <w:rsid w:val="5E4C4E44"/>
    <w:rsid w:val="5E4D4830"/>
    <w:rsid w:val="5E4E1644"/>
    <w:rsid w:val="5E50050F"/>
    <w:rsid w:val="5E5D04EF"/>
    <w:rsid w:val="5E5D47D5"/>
    <w:rsid w:val="5E68591D"/>
    <w:rsid w:val="5E6F4AE3"/>
    <w:rsid w:val="5E731D18"/>
    <w:rsid w:val="5E736001"/>
    <w:rsid w:val="5E742249"/>
    <w:rsid w:val="5E767F71"/>
    <w:rsid w:val="5E986D1D"/>
    <w:rsid w:val="5E9E597C"/>
    <w:rsid w:val="5EA97C8F"/>
    <w:rsid w:val="5EBA6970"/>
    <w:rsid w:val="5EC4125E"/>
    <w:rsid w:val="5EE11EB8"/>
    <w:rsid w:val="5F0936DE"/>
    <w:rsid w:val="5F1564DA"/>
    <w:rsid w:val="5F171517"/>
    <w:rsid w:val="5F250070"/>
    <w:rsid w:val="5F3209BE"/>
    <w:rsid w:val="5F5B6A83"/>
    <w:rsid w:val="5F62295E"/>
    <w:rsid w:val="5F7D16C2"/>
    <w:rsid w:val="5F892553"/>
    <w:rsid w:val="5FAB0CC9"/>
    <w:rsid w:val="5FAB77AE"/>
    <w:rsid w:val="5FB301BB"/>
    <w:rsid w:val="5FD04B62"/>
    <w:rsid w:val="5FD144A5"/>
    <w:rsid w:val="5FF97102"/>
    <w:rsid w:val="5FFA6139"/>
    <w:rsid w:val="5FFB5E88"/>
    <w:rsid w:val="600A6271"/>
    <w:rsid w:val="601101FB"/>
    <w:rsid w:val="60357E4D"/>
    <w:rsid w:val="6046706E"/>
    <w:rsid w:val="60492B3E"/>
    <w:rsid w:val="6053275F"/>
    <w:rsid w:val="60565E64"/>
    <w:rsid w:val="605D4C28"/>
    <w:rsid w:val="605E55CF"/>
    <w:rsid w:val="606A06BA"/>
    <w:rsid w:val="606E68AD"/>
    <w:rsid w:val="606F2DD9"/>
    <w:rsid w:val="60747DCE"/>
    <w:rsid w:val="6089047C"/>
    <w:rsid w:val="608D4CE3"/>
    <w:rsid w:val="60A859A2"/>
    <w:rsid w:val="60AB29AA"/>
    <w:rsid w:val="60AC67BD"/>
    <w:rsid w:val="60AD2B1B"/>
    <w:rsid w:val="60AE372D"/>
    <w:rsid w:val="60C06489"/>
    <w:rsid w:val="60C90B05"/>
    <w:rsid w:val="60CD295D"/>
    <w:rsid w:val="60CE2A0E"/>
    <w:rsid w:val="60D07165"/>
    <w:rsid w:val="60E06A5A"/>
    <w:rsid w:val="61096ED4"/>
    <w:rsid w:val="611C1063"/>
    <w:rsid w:val="61204933"/>
    <w:rsid w:val="612354B4"/>
    <w:rsid w:val="61351A56"/>
    <w:rsid w:val="613D08DA"/>
    <w:rsid w:val="613F62A8"/>
    <w:rsid w:val="61415F87"/>
    <w:rsid w:val="61561800"/>
    <w:rsid w:val="615A223E"/>
    <w:rsid w:val="615A4676"/>
    <w:rsid w:val="615B47A6"/>
    <w:rsid w:val="616435A6"/>
    <w:rsid w:val="61830F3C"/>
    <w:rsid w:val="61883696"/>
    <w:rsid w:val="619940E6"/>
    <w:rsid w:val="61A24411"/>
    <w:rsid w:val="61A6014E"/>
    <w:rsid w:val="61AB6B4A"/>
    <w:rsid w:val="61B3236A"/>
    <w:rsid w:val="61C479A9"/>
    <w:rsid w:val="61D63921"/>
    <w:rsid w:val="61DB724C"/>
    <w:rsid w:val="61DF651F"/>
    <w:rsid w:val="61EE1B3B"/>
    <w:rsid w:val="61F439C5"/>
    <w:rsid w:val="61F443E9"/>
    <w:rsid w:val="620444AC"/>
    <w:rsid w:val="62086520"/>
    <w:rsid w:val="62213533"/>
    <w:rsid w:val="62270D05"/>
    <w:rsid w:val="62297BF9"/>
    <w:rsid w:val="624102C0"/>
    <w:rsid w:val="62461BF2"/>
    <w:rsid w:val="624F5302"/>
    <w:rsid w:val="62607426"/>
    <w:rsid w:val="626A0955"/>
    <w:rsid w:val="626C2AFF"/>
    <w:rsid w:val="626D3D5B"/>
    <w:rsid w:val="62762D19"/>
    <w:rsid w:val="62865532"/>
    <w:rsid w:val="62867444"/>
    <w:rsid w:val="629B54AE"/>
    <w:rsid w:val="629D7EE8"/>
    <w:rsid w:val="62A734E8"/>
    <w:rsid w:val="62AE7A21"/>
    <w:rsid w:val="62BF666C"/>
    <w:rsid w:val="62C73A65"/>
    <w:rsid w:val="62C7491F"/>
    <w:rsid w:val="62C906B0"/>
    <w:rsid w:val="62CD0ED6"/>
    <w:rsid w:val="62D50998"/>
    <w:rsid w:val="62D8753A"/>
    <w:rsid w:val="62E7507D"/>
    <w:rsid w:val="62F67597"/>
    <w:rsid w:val="630C0C8E"/>
    <w:rsid w:val="630C34D0"/>
    <w:rsid w:val="631E48B7"/>
    <w:rsid w:val="6322080B"/>
    <w:rsid w:val="635F6BBD"/>
    <w:rsid w:val="63656A3B"/>
    <w:rsid w:val="63785DBF"/>
    <w:rsid w:val="63823BA9"/>
    <w:rsid w:val="638F7AFC"/>
    <w:rsid w:val="639215D8"/>
    <w:rsid w:val="639440C7"/>
    <w:rsid w:val="63A36BE5"/>
    <w:rsid w:val="63B2141C"/>
    <w:rsid w:val="63C04B8A"/>
    <w:rsid w:val="63D42229"/>
    <w:rsid w:val="63D45CA5"/>
    <w:rsid w:val="63D8474D"/>
    <w:rsid w:val="63DB746A"/>
    <w:rsid w:val="63E5033D"/>
    <w:rsid w:val="63EC46A4"/>
    <w:rsid w:val="63EE162B"/>
    <w:rsid w:val="63F754AA"/>
    <w:rsid w:val="63F75B8A"/>
    <w:rsid w:val="640310C7"/>
    <w:rsid w:val="640806F9"/>
    <w:rsid w:val="64155C8D"/>
    <w:rsid w:val="641B0760"/>
    <w:rsid w:val="641E1DE4"/>
    <w:rsid w:val="641E4423"/>
    <w:rsid w:val="64203CB4"/>
    <w:rsid w:val="64222857"/>
    <w:rsid w:val="642C6B67"/>
    <w:rsid w:val="64335EB1"/>
    <w:rsid w:val="643937B4"/>
    <w:rsid w:val="64433CD0"/>
    <w:rsid w:val="64495F72"/>
    <w:rsid w:val="644B25BC"/>
    <w:rsid w:val="64500E1D"/>
    <w:rsid w:val="645D7798"/>
    <w:rsid w:val="647F6D16"/>
    <w:rsid w:val="6498217B"/>
    <w:rsid w:val="64987FF4"/>
    <w:rsid w:val="649F0E63"/>
    <w:rsid w:val="64CF10CC"/>
    <w:rsid w:val="64D0513C"/>
    <w:rsid w:val="64D320D2"/>
    <w:rsid w:val="64D74505"/>
    <w:rsid w:val="64DE698B"/>
    <w:rsid w:val="64E1370A"/>
    <w:rsid w:val="64EB1866"/>
    <w:rsid w:val="64F702F2"/>
    <w:rsid w:val="651424EE"/>
    <w:rsid w:val="65257BC1"/>
    <w:rsid w:val="65287A29"/>
    <w:rsid w:val="652E1DEE"/>
    <w:rsid w:val="65301BF1"/>
    <w:rsid w:val="65537EF9"/>
    <w:rsid w:val="655E1155"/>
    <w:rsid w:val="655F4773"/>
    <w:rsid w:val="65636455"/>
    <w:rsid w:val="657034C4"/>
    <w:rsid w:val="65732FC9"/>
    <w:rsid w:val="658B7653"/>
    <w:rsid w:val="65A240BE"/>
    <w:rsid w:val="65A273A9"/>
    <w:rsid w:val="65AE5114"/>
    <w:rsid w:val="65AE59DE"/>
    <w:rsid w:val="65B22C79"/>
    <w:rsid w:val="65B60634"/>
    <w:rsid w:val="65B61DD9"/>
    <w:rsid w:val="65B94A86"/>
    <w:rsid w:val="65BB5075"/>
    <w:rsid w:val="65BC102A"/>
    <w:rsid w:val="65C71776"/>
    <w:rsid w:val="65C76D0B"/>
    <w:rsid w:val="65CB5A52"/>
    <w:rsid w:val="65D23BC4"/>
    <w:rsid w:val="65F03F0E"/>
    <w:rsid w:val="65F736BF"/>
    <w:rsid w:val="660B76A8"/>
    <w:rsid w:val="662861DC"/>
    <w:rsid w:val="66286B79"/>
    <w:rsid w:val="66306F43"/>
    <w:rsid w:val="66326E97"/>
    <w:rsid w:val="663F4723"/>
    <w:rsid w:val="664615E7"/>
    <w:rsid w:val="665265F4"/>
    <w:rsid w:val="665D487D"/>
    <w:rsid w:val="666C55F7"/>
    <w:rsid w:val="668A0DFC"/>
    <w:rsid w:val="66943E18"/>
    <w:rsid w:val="6699652A"/>
    <w:rsid w:val="66A562F6"/>
    <w:rsid w:val="66A93110"/>
    <w:rsid w:val="66AC664F"/>
    <w:rsid w:val="66AF2B2C"/>
    <w:rsid w:val="66C83F2C"/>
    <w:rsid w:val="66EB1F18"/>
    <w:rsid w:val="66F0190D"/>
    <w:rsid w:val="66F74D84"/>
    <w:rsid w:val="67064E16"/>
    <w:rsid w:val="6720594D"/>
    <w:rsid w:val="672833FF"/>
    <w:rsid w:val="67353A28"/>
    <w:rsid w:val="673832E7"/>
    <w:rsid w:val="67447CAA"/>
    <w:rsid w:val="67476124"/>
    <w:rsid w:val="674B4A14"/>
    <w:rsid w:val="675D734C"/>
    <w:rsid w:val="67603184"/>
    <w:rsid w:val="676569B0"/>
    <w:rsid w:val="67662B31"/>
    <w:rsid w:val="67681005"/>
    <w:rsid w:val="67690407"/>
    <w:rsid w:val="676E53AF"/>
    <w:rsid w:val="6772565E"/>
    <w:rsid w:val="677C3451"/>
    <w:rsid w:val="67905BA9"/>
    <w:rsid w:val="679C72E6"/>
    <w:rsid w:val="679D7D9D"/>
    <w:rsid w:val="679E1AB6"/>
    <w:rsid w:val="67A16316"/>
    <w:rsid w:val="67B52945"/>
    <w:rsid w:val="67B84A87"/>
    <w:rsid w:val="67D5396B"/>
    <w:rsid w:val="67E24A58"/>
    <w:rsid w:val="67E967D4"/>
    <w:rsid w:val="67EA1DE2"/>
    <w:rsid w:val="67F51F5D"/>
    <w:rsid w:val="67FB68A8"/>
    <w:rsid w:val="680A3D59"/>
    <w:rsid w:val="681262B6"/>
    <w:rsid w:val="681C0F9C"/>
    <w:rsid w:val="68280A59"/>
    <w:rsid w:val="682E6A6C"/>
    <w:rsid w:val="6840401D"/>
    <w:rsid w:val="6844471E"/>
    <w:rsid w:val="68446C9C"/>
    <w:rsid w:val="685448E5"/>
    <w:rsid w:val="68567ADB"/>
    <w:rsid w:val="685A52F7"/>
    <w:rsid w:val="686301D2"/>
    <w:rsid w:val="686F32ED"/>
    <w:rsid w:val="6873052F"/>
    <w:rsid w:val="68763CFB"/>
    <w:rsid w:val="68775B46"/>
    <w:rsid w:val="689627C2"/>
    <w:rsid w:val="68A2527C"/>
    <w:rsid w:val="68A512BF"/>
    <w:rsid w:val="68AB1911"/>
    <w:rsid w:val="68AB7066"/>
    <w:rsid w:val="68AC7864"/>
    <w:rsid w:val="68AE0590"/>
    <w:rsid w:val="68BD141F"/>
    <w:rsid w:val="68C2312F"/>
    <w:rsid w:val="68CC74D0"/>
    <w:rsid w:val="68DD058C"/>
    <w:rsid w:val="68E84B74"/>
    <w:rsid w:val="68FE4D8A"/>
    <w:rsid w:val="690300E6"/>
    <w:rsid w:val="691A7A58"/>
    <w:rsid w:val="691B498D"/>
    <w:rsid w:val="691E3A53"/>
    <w:rsid w:val="691F004A"/>
    <w:rsid w:val="69233913"/>
    <w:rsid w:val="692563EE"/>
    <w:rsid w:val="692D6BB4"/>
    <w:rsid w:val="69456602"/>
    <w:rsid w:val="6965727E"/>
    <w:rsid w:val="69785369"/>
    <w:rsid w:val="69842EAC"/>
    <w:rsid w:val="69874893"/>
    <w:rsid w:val="69BF388B"/>
    <w:rsid w:val="69C101AD"/>
    <w:rsid w:val="69C62E9A"/>
    <w:rsid w:val="69D9569F"/>
    <w:rsid w:val="69EC201D"/>
    <w:rsid w:val="69F076EC"/>
    <w:rsid w:val="6A0C4C59"/>
    <w:rsid w:val="6A0C7811"/>
    <w:rsid w:val="6A0E77F1"/>
    <w:rsid w:val="6A3001E9"/>
    <w:rsid w:val="6A3B6DD7"/>
    <w:rsid w:val="6A4771FB"/>
    <w:rsid w:val="6A4D0B65"/>
    <w:rsid w:val="6A55161C"/>
    <w:rsid w:val="6A572BE8"/>
    <w:rsid w:val="6A65568E"/>
    <w:rsid w:val="6A6A6D65"/>
    <w:rsid w:val="6A775E8A"/>
    <w:rsid w:val="6A8213EE"/>
    <w:rsid w:val="6A9553FE"/>
    <w:rsid w:val="6A9F48FD"/>
    <w:rsid w:val="6AC02AEF"/>
    <w:rsid w:val="6AC07030"/>
    <w:rsid w:val="6AC30E38"/>
    <w:rsid w:val="6ACB6656"/>
    <w:rsid w:val="6AD0268E"/>
    <w:rsid w:val="6ADB66AC"/>
    <w:rsid w:val="6ADD74FD"/>
    <w:rsid w:val="6AF15601"/>
    <w:rsid w:val="6AF66C96"/>
    <w:rsid w:val="6AFD73EC"/>
    <w:rsid w:val="6B0E118E"/>
    <w:rsid w:val="6B336DF1"/>
    <w:rsid w:val="6B3816B9"/>
    <w:rsid w:val="6B3D1C37"/>
    <w:rsid w:val="6B457289"/>
    <w:rsid w:val="6B4736DA"/>
    <w:rsid w:val="6B4F341C"/>
    <w:rsid w:val="6B570F9E"/>
    <w:rsid w:val="6B613AB3"/>
    <w:rsid w:val="6B6B39D0"/>
    <w:rsid w:val="6B704D44"/>
    <w:rsid w:val="6B7A4A17"/>
    <w:rsid w:val="6B7F1BF6"/>
    <w:rsid w:val="6B9512FD"/>
    <w:rsid w:val="6BB554FE"/>
    <w:rsid w:val="6BB87BB7"/>
    <w:rsid w:val="6BC06917"/>
    <w:rsid w:val="6BC12EDC"/>
    <w:rsid w:val="6BCB65E9"/>
    <w:rsid w:val="6BDB3000"/>
    <w:rsid w:val="6BE255D8"/>
    <w:rsid w:val="6BE76A97"/>
    <w:rsid w:val="6BF056A3"/>
    <w:rsid w:val="6BF43FAF"/>
    <w:rsid w:val="6BFB78C8"/>
    <w:rsid w:val="6C1363EA"/>
    <w:rsid w:val="6C1F175D"/>
    <w:rsid w:val="6C236C77"/>
    <w:rsid w:val="6C260AD1"/>
    <w:rsid w:val="6C3B602B"/>
    <w:rsid w:val="6C3E480C"/>
    <w:rsid w:val="6C471F18"/>
    <w:rsid w:val="6C486EAF"/>
    <w:rsid w:val="6C4A348A"/>
    <w:rsid w:val="6C4A4478"/>
    <w:rsid w:val="6C4E35E5"/>
    <w:rsid w:val="6C5002D5"/>
    <w:rsid w:val="6C516105"/>
    <w:rsid w:val="6C69343B"/>
    <w:rsid w:val="6C737CFB"/>
    <w:rsid w:val="6C777224"/>
    <w:rsid w:val="6C784906"/>
    <w:rsid w:val="6C83219C"/>
    <w:rsid w:val="6C833B41"/>
    <w:rsid w:val="6C9803A4"/>
    <w:rsid w:val="6CA405A4"/>
    <w:rsid w:val="6CD323B8"/>
    <w:rsid w:val="6CE66AF9"/>
    <w:rsid w:val="6CF33107"/>
    <w:rsid w:val="6CFB3061"/>
    <w:rsid w:val="6D243939"/>
    <w:rsid w:val="6D2F5EB0"/>
    <w:rsid w:val="6D3125B4"/>
    <w:rsid w:val="6D447778"/>
    <w:rsid w:val="6D4A5F2F"/>
    <w:rsid w:val="6D5F7732"/>
    <w:rsid w:val="6D620170"/>
    <w:rsid w:val="6D74531F"/>
    <w:rsid w:val="6D777E6B"/>
    <w:rsid w:val="6D84645E"/>
    <w:rsid w:val="6D8F437E"/>
    <w:rsid w:val="6D987572"/>
    <w:rsid w:val="6D990245"/>
    <w:rsid w:val="6D997573"/>
    <w:rsid w:val="6D9D000B"/>
    <w:rsid w:val="6DA026C8"/>
    <w:rsid w:val="6DA02E41"/>
    <w:rsid w:val="6DA21D88"/>
    <w:rsid w:val="6DAB04EE"/>
    <w:rsid w:val="6DAC5479"/>
    <w:rsid w:val="6DB46943"/>
    <w:rsid w:val="6DC42971"/>
    <w:rsid w:val="6DC62455"/>
    <w:rsid w:val="6DE4394A"/>
    <w:rsid w:val="6DED7696"/>
    <w:rsid w:val="6DF60C91"/>
    <w:rsid w:val="6DF674A2"/>
    <w:rsid w:val="6E035FBA"/>
    <w:rsid w:val="6E123F60"/>
    <w:rsid w:val="6E1D0E7C"/>
    <w:rsid w:val="6E2E7FD1"/>
    <w:rsid w:val="6E3621A3"/>
    <w:rsid w:val="6E5231A4"/>
    <w:rsid w:val="6E5A40EE"/>
    <w:rsid w:val="6E5C19CE"/>
    <w:rsid w:val="6E671D27"/>
    <w:rsid w:val="6E732E3B"/>
    <w:rsid w:val="6E78772A"/>
    <w:rsid w:val="6E7D48F4"/>
    <w:rsid w:val="6E842069"/>
    <w:rsid w:val="6E9C16AF"/>
    <w:rsid w:val="6E9D390D"/>
    <w:rsid w:val="6EAC20D1"/>
    <w:rsid w:val="6EC44A40"/>
    <w:rsid w:val="6EE10B05"/>
    <w:rsid w:val="6EE61052"/>
    <w:rsid w:val="6EF31424"/>
    <w:rsid w:val="6F001B5B"/>
    <w:rsid w:val="6F023710"/>
    <w:rsid w:val="6F0472BB"/>
    <w:rsid w:val="6F124469"/>
    <w:rsid w:val="6F125425"/>
    <w:rsid w:val="6F131D6E"/>
    <w:rsid w:val="6F1B6955"/>
    <w:rsid w:val="6F200617"/>
    <w:rsid w:val="6F206808"/>
    <w:rsid w:val="6F233CB6"/>
    <w:rsid w:val="6F322613"/>
    <w:rsid w:val="6F485B3A"/>
    <w:rsid w:val="6F502FC7"/>
    <w:rsid w:val="6F537CC8"/>
    <w:rsid w:val="6F5940F5"/>
    <w:rsid w:val="6F5B3B07"/>
    <w:rsid w:val="6F6000F3"/>
    <w:rsid w:val="6F6D1E34"/>
    <w:rsid w:val="6F75046D"/>
    <w:rsid w:val="6F7A7501"/>
    <w:rsid w:val="6F7B17A7"/>
    <w:rsid w:val="6F7E7936"/>
    <w:rsid w:val="6F813AAF"/>
    <w:rsid w:val="6F8249E0"/>
    <w:rsid w:val="6F8422F9"/>
    <w:rsid w:val="6FAB7D95"/>
    <w:rsid w:val="6FAD23B4"/>
    <w:rsid w:val="6FAD5E72"/>
    <w:rsid w:val="6FB9555A"/>
    <w:rsid w:val="6FBD7D61"/>
    <w:rsid w:val="6FC42EAB"/>
    <w:rsid w:val="6FD101F3"/>
    <w:rsid w:val="6FDE70E7"/>
    <w:rsid w:val="6FE54985"/>
    <w:rsid w:val="6FEC7554"/>
    <w:rsid w:val="6FF1283A"/>
    <w:rsid w:val="700D5DEC"/>
    <w:rsid w:val="70404539"/>
    <w:rsid w:val="70563262"/>
    <w:rsid w:val="705873A3"/>
    <w:rsid w:val="70726F06"/>
    <w:rsid w:val="708C46A0"/>
    <w:rsid w:val="709910D5"/>
    <w:rsid w:val="709C35CE"/>
    <w:rsid w:val="70A3462A"/>
    <w:rsid w:val="70B26D33"/>
    <w:rsid w:val="70B54946"/>
    <w:rsid w:val="70C932BA"/>
    <w:rsid w:val="70D216D3"/>
    <w:rsid w:val="70D9122B"/>
    <w:rsid w:val="70F63584"/>
    <w:rsid w:val="71013AC4"/>
    <w:rsid w:val="71116E10"/>
    <w:rsid w:val="711E75DA"/>
    <w:rsid w:val="71221C60"/>
    <w:rsid w:val="71306040"/>
    <w:rsid w:val="71534AAE"/>
    <w:rsid w:val="71550DBA"/>
    <w:rsid w:val="7158431A"/>
    <w:rsid w:val="715E4298"/>
    <w:rsid w:val="71613AEC"/>
    <w:rsid w:val="716C54B9"/>
    <w:rsid w:val="717038D1"/>
    <w:rsid w:val="717C638C"/>
    <w:rsid w:val="71896C8F"/>
    <w:rsid w:val="719B216D"/>
    <w:rsid w:val="719C0048"/>
    <w:rsid w:val="719E7B54"/>
    <w:rsid w:val="71A9718D"/>
    <w:rsid w:val="71B330DD"/>
    <w:rsid w:val="71B752EE"/>
    <w:rsid w:val="71BE2769"/>
    <w:rsid w:val="71C66F16"/>
    <w:rsid w:val="71DB12A7"/>
    <w:rsid w:val="71E40223"/>
    <w:rsid w:val="71E70A22"/>
    <w:rsid w:val="7202262A"/>
    <w:rsid w:val="720860A3"/>
    <w:rsid w:val="72106F1F"/>
    <w:rsid w:val="721E7112"/>
    <w:rsid w:val="721F59D1"/>
    <w:rsid w:val="722D57C7"/>
    <w:rsid w:val="723423C2"/>
    <w:rsid w:val="724062B5"/>
    <w:rsid w:val="724A0704"/>
    <w:rsid w:val="724F46F0"/>
    <w:rsid w:val="7255143F"/>
    <w:rsid w:val="725D42D9"/>
    <w:rsid w:val="726436E6"/>
    <w:rsid w:val="72700C83"/>
    <w:rsid w:val="727E6483"/>
    <w:rsid w:val="72802E16"/>
    <w:rsid w:val="72843406"/>
    <w:rsid w:val="728453D5"/>
    <w:rsid w:val="728730B3"/>
    <w:rsid w:val="72935827"/>
    <w:rsid w:val="729660C5"/>
    <w:rsid w:val="729B79DD"/>
    <w:rsid w:val="72A911B4"/>
    <w:rsid w:val="72AC0DAF"/>
    <w:rsid w:val="72BB1BA7"/>
    <w:rsid w:val="72C773DB"/>
    <w:rsid w:val="72D051AC"/>
    <w:rsid w:val="72D05F60"/>
    <w:rsid w:val="72E10CBC"/>
    <w:rsid w:val="72EB3D62"/>
    <w:rsid w:val="72ED426C"/>
    <w:rsid w:val="72F91A90"/>
    <w:rsid w:val="731C314C"/>
    <w:rsid w:val="731E46BE"/>
    <w:rsid w:val="73237AF4"/>
    <w:rsid w:val="732927A3"/>
    <w:rsid w:val="732F4325"/>
    <w:rsid w:val="734333B2"/>
    <w:rsid w:val="735013B2"/>
    <w:rsid w:val="73666CF1"/>
    <w:rsid w:val="7383558F"/>
    <w:rsid w:val="738B5FB1"/>
    <w:rsid w:val="738D12E3"/>
    <w:rsid w:val="73B02110"/>
    <w:rsid w:val="73B55BEF"/>
    <w:rsid w:val="73C073A7"/>
    <w:rsid w:val="73CA3785"/>
    <w:rsid w:val="73CE0E30"/>
    <w:rsid w:val="73D82886"/>
    <w:rsid w:val="73E42131"/>
    <w:rsid w:val="73F95D4E"/>
    <w:rsid w:val="74044161"/>
    <w:rsid w:val="7412793E"/>
    <w:rsid w:val="74194164"/>
    <w:rsid w:val="741C0ACA"/>
    <w:rsid w:val="742B0327"/>
    <w:rsid w:val="742D6B25"/>
    <w:rsid w:val="743F1D31"/>
    <w:rsid w:val="744446C4"/>
    <w:rsid w:val="74524A6C"/>
    <w:rsid w:val="745C1A87"/>
    <w:rsid w:val="745D46B6"/>
    <w:rsid w:val="74674908"/>
    <w:rsid w:val="74795F19"/>
    <w:rsid w:val="747E2170"/>
    <w:rsid w:val="74994FF2"/>
    <w:rsid w:val="74A93ADB"/>
    <w:rsid w:val="74AB764B"/>
    <w:rsid w:val="74B86703"/>
    <w:rsid w:val="74BA0C6B"/>
    <w:rsid w:val="74BB501E"/>
    <w:rsid w:val="74C25F4B"/>
    <w:rsid w:val="74DE2527"/>
    <w:rsid w:val="74EE31EA"/>
    <w:rsid w:val="74F039E8"/>
    <w:rsid w:val="74FA2880"/>
    <w:rsid w:val="750D20E7"/>
    <w:rsid w:val="75101C40"/>
    <w:rsid w:val="75205A5E"/>
    <w:rsid w:val="75223578"/>
    <w:rsid w:val="75225CBF"/>
    <w:rsid w:val="752E559B"/>
    <w:rsid w:val="75321B62"/>
    <w:rsid w:val="75350693"/>
    <w:rsid w:val="753B48E1"/>
    <w:rsid w:val="753D3667"/>
    <w:rsid w:val="7546677D"/>
    <w:rsid w:val="754B2AC0"/>
    <w:rsid w:val="754D466C"/>
    <w:rsid w:val="754F4CC4"/>
    <w:rsid w:val="7554600D"/>
    <w:rsid w:val="756338A7"/>
    <w:rsid w:val="756A69CE"/>
    <w:rsid w:val="756E0B0A"/>
    <w:rsid w:val="756F18B8"/>
    <w:rsid w:val="757031D9"/>
    <w:rsid w:val="7572083C"/>
    <w:rsid w:val="75734177"/>
    <w:rsid w:val="75806983"/>
    <w:rsid w:val="75814167"/>
    <w:rsid w:val="75815055"/>
    <w:rsid w:val="75842DFC"/>
    <w:rsid w:val="758C274B"/>
    <w:rsid w:val="758C7D84"/>
    <w:rsid w:val="758E0290"/>
    <w:rsid w:val="75A667A1"/>
    <w:rsid w:val="75B9416A"/>
    <w:rsid w:val="75BE0722"/>
    <w:rsid w:val="75C12701"/>
    <w:rsid w:val="75C247F2"/>
    <w:rsid w:val="75CC7278"/>
    <w:rsid w:val="75CD7BB5"/>
    <w:rsid w:val="75D833A4"/>
    <w:rsid w:val="75E96A41"/>
    <w:rsid w:val="75ED7C1C"/>
    <w:rsid w:val="75F1698E"/>
    <w:rsid w:val="75F836FA"/>
    <w:rsid w:val="760F39BF"/>
    <w:rsid w:val="7616334A"/>
    <w:rsid w:val="762A3224"/>
    <w:rsid w:val="762C54EE"/>
    <w:rsid w:val="76395565"/>
    <w:rsid w:val="763A2BB0"/>
    <w:rsid w:val="76437D02"/>
    <w:rsid w:val="76442B95"/>
    <w:rsid w:val="7648159B"/>
    <w:rsid w:val="765120A6"/>
    <w:rsid w:val="767F05D4"/>
    <w:rsid w:val="76A57736"/>
    <w:rsid w:val="76BF7D3D"/>
    <w:rsid w:val="76C52AEB"/>
    <w:rsid w:val="76D264D4"/>
    <w:rsid w:val="76D66A80"/>
    <w:rsid w:val="76E13C82"/>
    <w:rsid w:val="76E50934"/>
    <w:rsid w:val="76E955C3"/>
    <w:rsid w:val="76ED50F2"/>
    <w:rsid w:val="76F55C40"/>
    <w:rsid w:val="76FB26C3"/>
    <w:rsid w:val="76FD43AC"/>
    <w:rsid w:val="76FF2AE0"/>
    <w:rsid w:val="77123ACC"/>
    <w:rsid w:val="77247924"/>
    <w:rsid w:val="772B1B20"/>
    <w:rsid w:val="77406B01"/>
    <w:rsid w:val="77510935"/>
    <w:rsid w:val="77533C64"/>
    <w:rsid w:val="77545425"/>
    <w:rsid w:val="775550B6"/>
    <w:rsid w:val="77634F3B"/>
    <w:rsid w:val="77691105"/>
    <w:rsid w:val="77824127"/>
    <w:rsid w:val="778A3EDB"/>
    <w:rsid w:val="778E76B4"/>
    <w:rsid w:val="77BD1936"/>
    <w:rsid w:val="77CA2EEF"/>
    <w:rsid w:val="77D36332"/>
    <w:rsid w:val="77D62A56"/>
    <w:rsid w:val="77D75529"/>
    <w:rsid w:val="77E52DB0"/>
    <w:rsid w:val="77E62733"/>
    <w:rsid w:val="77F84B71"/>
    <w:rsid w:val="780E1955"/>
    <w:rsid w:val="781365ED"/>
    <w:rsid w:val="78161DAE"/>
    <w:rsid w:val="781A23A0"/>
    <w:rsid w:val="781C021C"/>
    <w:rsid w:val="78293DC3"/>
    <w:rsid w:val="782D2D9B"/>
    <w:rsid w:val="783A6B2F"/>
    <w:rsid w:val="783F4F70"/>
    <w:rsid w:val="78435F1B"/>
    <w:rsid w:val="7846562B"/>
    <w:rsid w:val="78542BE7"/>
    <w:rsid w:val="785B4C20"/>
    <w:rsid w:val="785D218D"/>
    <w:rsid w:val="788B1B55"/>
    <w:rsid w:val="78AB03F5"/>
    <w:rsid w:val="78AB4E34"/>
    <w:rsid w:val="78B8567C"/>
    <w:rsid w:val="78C97252"/>
    <w:rsid w:val="78D833CC"/>
    <w:rsid w:val="78EA5B67"/>
    <w:rsid w:val="78F37C03"/>
    <w:rsid w:val="78F7615B"/>
    <w:rsid w:val="78FD2962"/>
    <w:rsid w:val="79157D37"/>
    <w:rsid w:val="792C013A"/>
    <w:rsid w:val="792F4674"/>
    <w:rsid w:val="79306A60"/>
    <w:rsid w:val="79307089"/>
    <w:rsid w:val="79373219"/>
    <w:rsid w:val="7942656D"/>
    <w:rsid w:val="794A4288"/>
    <w:rsid w:val="794C7980"/>
    <w:rsid w:val="7954036F"/>
    <w:rsid w:val="79607A1B"/>
    <w:rsid w:val="7963139E"/>
    <w:rsid w:val="796836C5"/>
    <w:rsid w:val="796A36B4"/>
    <w:rsid w:val="796F2A8D"/>
    <w:rsid w:val="797A39DC"/>
    <w:rsid w:val="798B23A6"/>
    <w:rsid w:val="79910793"/>
    <w:rsid w:val="79A04DFD"/>
    <w:rsid w:val="79A300EC"/>
    <w:rsid w:val="79A86542"/>
    <w:rsid w:val="79BE5E62"/>
    <w:rsid w:val="79D00261"/>
    <w:rsid w:val="79D030E6"/>
    <w:rsid w:val="79D72059"/>
    <w:rsid w:val="79D8175C"/>
    <w:rsid w:val="79D917F7"/>
    <w:rsid w:val="79E34D47"/>
    <w:rsid w:val="79EC33C3"/>
    <w:rsid w:val="79ED081B"/>
    <w:rsid w:val="79FE3CA3"/>
    <w:rsid w:val="7A195421"/>
    <w:rsid w:val="7A1C1793"/>
    <w:rsid w:val="7A1C4DC7"/>
    <w:rsid w:val="7A317435"/>
    <w:rsid w:val="7A3A078E"/>
    <w:rsid w:val="7A3E119B"/>
    <w:rsid w:val="7A417F22"/>
    <w:rsid w:val="7A45124E"/>
    <w:rsid w:val="7A4928E9"/>
    <w:rsid w:val="7A4C7BCA"/>
    <w:rsid w:val="7A616C91"/>
    <w:rsid w:val="7A664EA9"/>
    <w:rsid w:val="7A6A29B4"/>
    <w:rsid w:val="7A7E555C"/>
    <w:rsid w:val="7A7F307F"/>
    <w:rsid w:val="7A850292"/>
    <w:rsid w:val="7A864059"/>
    <w:rsid w:val="7A991285"/>
    <w:rsid w:val="7AAC03BC"/>
    <w:rsid w:val="7AAE120D"/>
    <w:rsid w:val="7AB2157C"/>
    <w:rsid w:val="7AB865C0"/>
    <w:rsid w:val="7AC179AB"/>
    <w:rsid w:val="7AC528C4"/>
    <w:rsid w:val="7AC77F5C"/>
    <w:rsid w:val="7ACE4545"/>
    <w:rsid w:val="7AD33AF9"/>
    <w:rsid w:val="7AE80992"/>
    <w:rsid w:val="7AE9752E"/>
    <w:rsid w:val="7AEC1055"/>
    <w:rsid w:val="7AF250BD"/>
    <w:rsid w:val="7AF51135"/>
    <w:rsid w:val="7AF6094A"/>
    <w:rsid w:val="7AFC2853"/>
    <w:rsid w:val="7AFE078F"/>
    <w:rsid w:val="7B0320BB"/>
    <w:rsid w:val="7B1E76B6"/>
    <w:rsid w:val="7B220D7A"/>
    <w:rsid w:val="7B2B5921"/>
    <w:rsid w:val="7B2D07A7"/>
    <w:rsid w:val="7B396E35"/>
    <w:rsid w:val="7B5204F9"/>
    <w:rsid w:val="7B612D94"/>
    <w:rsid w:val="7B614CCE"/>
    <w:rsid w:val="7B615DFB"/>
    <w:rsid w:val="7B69538B"/>
    <w:rsid w:val="7B6E3852"/>
    <w:rsid w:val="7B713E82"/>
    <w:rsid w:val="7B7451B0"/>
    <w:rsid w:val="7B745405"/>
    <w:rsid w:val="7B77505D"/>
    <w:rsid w:val="7B7E5E0A"/>
    <w:rsid w:val="7B89373C"/>
    <w:rsid w:val="7B8B54F1"/>
    <w:rsid w:val="7BC464A6"/>
    <w:rsid w:val="7BC6581E"/>
    <w:rsid w:val="7BCD7043"/>
    <w:rsid w:val="7BD947C0"/>
    <w:rsid w:val="7BDA2B39"/>
    <w:rsid w:val="7BE114B4"/>
    <w:rsid w:val="7BED57FB"/>
    <w:rsid w:val="7C0A4F8F"/>
    <w:rsid w:val="7C274E7E"/>
    <w:rsid w:val="7C280E42"/>
    <w:rsid w:val="7C4A7F77"/>
    <w:rsid w:val="7C4F49BF"/>
    <w:rsid w:val="7C5F4699"/>
    <w:rsid w:val="7C6B5336"/>
    <w:rsid w:val="7C7F4F3C"/>
    <w:rsid w:val="7C8E405C"/>
    <w:rsid w:val="7C9C55B4"/>
    <w:rsid w:val="7CA544A2"/>
    <w:rsid w:val="7CA91615"/>
    <w:rsid w:val="7CAC6750"/>
    <w:rsid w:val="7CB347D7"/>
    <w:rsid w:val="7CCD67D7"/>
    <w:rsid w:val="7CDA09AD"/>
    <w:rsid w:val="7CDB518C"/>
    <w:rsid w:val="7CE21673"/>
    <w:rsid w:val="7CE2570E"/>
    <w:rsid w:val="7CF45745"/>
    <w:rsid w:val="7D0E3538"/>
    <w:rsid w:val="7D1E37D2"/>
    <w:rsid w:val="7D4033FD"/>
    <w:rsid w:val="7D4D5856"/>
    <w:rsid w:val="7D535901"/>
    <w:rsid w:val="7D537A55"/>
    <w:rsid w:val="7D5D49E3"/>
    <w:rsid w:val="7D737A9C"/>
    <w:rsid w:val="7D8234F7"/>
    <w:rsid w:val="7DA31ECA"/>
    <w:rsid w:val="7DAA16F6"/>
    <w:rsid w:val="7DC47019"/>
    <w:rsid w:val="7DCA2855"/>
    <w:rsid w:val="7DE14EF9"/>
    <w:rsid w:val="7DEF3EAB"/>
    <w:rsid w:val="7E0E416B"/>
    <w:rsid w:val="7E183EEA"/>
    <w:rsid w:val="7E245663"/>
    <w:rsid w:val="7E413003"/>
    <w:rsid w:val="7E440B2B"/>
    <w:rsid w:val="7E4A22B2"/>
    <w:rsid w:val="7E4C02D3"/>
    <w:rsid w:val="7E4F61B6"/>
    <w:rsid w:val="7E5022F4"/>
    <w:rsid w:val="7E5747D4"/>
    <w:rsid w:val="7E651BA1"/>
    <w:rsid w:val="7E6752B6"/>
    <w:rsid w:val="7E717A7B"/>
    <w:rsid w:val="7E720C01"/>
    <w:rsid w:val="7E80292D"/>
    <w:rsid w:val="7E84382C"/>
    <w:rsid w:val="7E855AE7"/>
    <w:rsid w:val="7E8B1D8C"/>
    <w:rsid w:val="7E9D718F"/>
    <w:rsid w:val="7EA7411B"/>
    <w:rsid w:val="7EA874D5"/>
    <w:rsid w:val="7EAA0221"/>
    <w:rsid w:val="7EB02A3C"/>
    <w:rsid w:val="7EB714C1"/>
    <w:rsid w:val="7EB81375"/>
    <w:rsid w:val="7EC92354"/>
    <w:rsid w:val="7ECF4278"/>
    <w:rsid w:val="7ED326C7"/>
    <w:rsid w:val="7EF056D9"/>
    <w:rsid w:val="7EFA6D9A"/>
    <w:rsid w:val="7F0A6F2E"/>
    <w:rsid w:val="7F103634"/>
    <w:rsid w:val="7F1E459D"/>
    <w:rsid w:val="7F21551C"/>
    <w:rsid w:val="7F251450"/>
    <w:rsid w:val="7F296027"/>
    <w:rsid w:val="7F36688A"/>
    <w:rsid w:val="7F381A47"/>
    <w:rsid w:val="7F3932D6"/>
    <w:rsid w:val="7F3B3199"/>
    <w:rsid w:val="7F3D07F6"/>
    <w:rsid w:val="7F40446B"/>
    <w:rsid w:val="7F4D23DA"/>
    <w:rsid w:val="7F610509"/>
    <w:rsid w:val="7F613C7E"/>
    <w:rsid w:val="7F827F3A"/>
    <w:rsid w:val="7F912BF1"/>
    <w:rsid w:val="7FA4150B"/>
    <w:rsid w:val="7FCC65E5"/>
    <w:rsid w:val="7FD01382"/>
    <w:rsid w:val="7FED79B9"/>
    <w:rsid w:val="7FF70B82"/>
    <w:rsid w:val="7FF83E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3"/>
    <w:qFormat/>
    <w:uiPriority w:val="0"/>
    <w:pPr>
      <w:ind w:left="1418" w:hanging="1418"/>
      <w:outlineLvl w:val="3"/>
    </w:pPr>
    <w:rPr>
      <w:sz w:val="24"/>
    </w:rPr>
  </w:style>
  <w:style w:type="paragraph" w:styleId="6">
    <w:name w:val="heading 5"/>
    <w:basedOn w:val="5"/>
    <w:next w:val="1"/>
    <w:link w:val="84"/>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ko"/>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jc w:val="center"/>
    </w:pPr>
    <w:rPr>
      <w:rFonts w:ascii="Arial" w:hAnsi="Arial"/>
      <w:i/>
      <w:iCs/>
      <w:sz w:val="18"/>
      <w:szCs w:val="18"/>
    </w:rPr>
  </w:style>
  <w:style w:type="paragraph" w:styleId="20">
    <w:name w:val="annotation text"/>
    <w:basedOn w:val="1"/>
    <w:qFormat/>
    <w:uiPriority w:val="0"/>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1"/>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28">
    <w:name w:val="toc 9"/>
    <w:basedOn w:val="24"/>
    <w:next w:val="1"/>
    <w:qFormat/>
    <w:uiPriority w:val="39"/>
    <w:pPr>
      <w:ind w:left="1418" w:hanging="1418"/>
    </w:pPr>
  </w:style>
  <w:style w:type="paragraph" w:styleId="29">
    <w:name w:val="Normal (Web)"/>
    <w:basedOn w:val="1"/>
    <w:qFormat/>
    <w:uiPriority w:val="99"/>
    <w:rPr>
      <w:sz w:val="24"/>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semiHidden/>
    <w:qFormat/>
    <w:uiPriority w:val="0"/>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Hyperlink"/>
    <w:basedOn w:val="32"/>
    <w:qFormat/>
    <w:uiPriority w:val="0"/>
    <w:rPr>
      <w:color w:val="0563C1" w:themeColor="hyperlink"/>
      <w:u w:val="single"/>
      <w14:textFill>
        <w14:solidFill>
          <w14:schemeClr w14:val="hlink"/>
        </w14:solidFill>
      </w14:textFill>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3"/>
    <w:qFormat/>
    <w:uiPriority w:val="0"/>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3">
    <w:name w:val="B2"/>
    <w:basedOn w:val="22"/>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批注框文本 字符"/>
    <w:link w:val="25"/>
    <w:qFormat/>
    <w:uiPriority w:val="0"/>
    <w:rPr>
      <w:rFonts w:ascii="Segoe UI" w:hAnsi="Segoe UI" w:cs="Segoe UI"/>
      <w:sz w:val="18"/>
      <w:szCs w:val="18"/>
      <w:lang w:eastAsia="en-US"/>
    </w:rPr>
  </w:style>
  <w:style w:type="character" w:customStyle="1" w:styleId="72">
    <w:name w:val="Unresolved Mention"/>
    <w:basedOn w:val="32"/>
    <w:semiHidden/>
    <w:unhideWhenUsed/>
    <w:qFormat/>
    <w:uiPriority w:val="99"/>
    <w:rPr>
      <w:color w:val="605E5C"/>
      <w:shd w:val="clear" w:color="auto" w:fill="E1DFDD"/>
    </w:rPr>
  </w:style>
  <w:style w:type="paragraph" w:styleId="73">
    <w:name w:val="List Paragraph"/>
    <w:basedOn w:val="1"/>
    <w:next w:val="23"/>
    <w:link w:val="74"/>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4">
    <w:name w:val="列出段落 字符1"/>
    <w:link w:val="73"/>
    <w:qFormat/>
    <w:locked/>
    <w:uiPriority w:val="34"/>
    <w:rPr>
      <w:rFonts w:asciiTheme="minorHAnsi" w:hAnsiTheme="minorHAnsi" w:eastAsiaTheme="minorHAnsi" w:cstheme="minorBidi"/>
      <w:sz w:val="22"/>
      <w:szCs w:val="22"/>
      <w:lang w:val="sv-SE" w:eastAsia="en-US"/>
    </w:rPr>
  </w:style>
  <w:style w:type="paragraph" w:customStyle="1" w:styleId="75">
    <w:name w:val="CR Cover Page"/>
    <w:link w:val="76"/>
    <w:qFormat/>
    <w:uiPriority w:val="0"/>
    <w:pPr>
      <w:spacing w:after="120"/>
    </w:pPr>
    <w:rPr>
      <w:rFonts w:ascii="Arial" w:hAnsi="Arial" w:eastAsia="Times New Roman" w:cs="Times New Roman"/>
      <w:lang w:val="en-GB" w:eastAsia="en-US" w:bidi="ar-SA"/>
    </w:rPr>
  </w:style>
  <w:style w:type="character" w:customStyle="1" w:styleId="76">
    <w:name w:val="CR Cover Page Char"/>
    <w:link w:val="75"/>
    <w:qFormat/>
    <w:uiPriority w:val="0"/>
    <w:rPr>
      <w:rFonts w:ascii="Arial" w:hAnsi="Arial"/>
      <w:lang w:eastAsia="en-US"/>
    </w:rPr>
  </w:style>
  <w:style w:type="paragraph" w:customStyle="1" w:styleId="77">
    <w:name w:val="RAN4 H1"/>
    <w:basedOn w:val="1"/>
    <w:next w:val="1"/>
    <w:link w:val="78"/>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8">
    <w:name w:val="RAN4 H1 Char"/>
    <w:basedOn w:val="32"/>
    <w:link w:val="77"/>
    <w:qFormat/>
    <w:uiPriority w:val="0"/>
    <w:rPr>
      <w:rFonts w:ascii="Arial" w:hAnsi="Arial" w:eastAsia="宋体" w:cs="Times New Roman"/>
      <w:sz w:val="36"/>
      <w:szCs w:val="20"/>
      <w:lang w:val="en-GB"/>
    </w:rPr>
  </w:style>
  <w:style w:type="paragraph" w:customStyle="1" w:styleId="79">
    <w:name w:val="RAN4 H2"/>
    <w:basedOn w:val="3"/>
    <w:next w:val="1"/>
    <w:qFormat/>
    <w:uiPriority w:val="0"/>
    <w:pPr>
      <w:numPr>
        <w:ilvl w:val="1"/>
        <w:numId w:val="1"/>
      </w:numPr>
      <w:ind w:left="431" w:hanging="431"/>
    </w:pPr>
    <w:rPr>
      <w:lang w:val="en-US"/>
    </w:rPr>
  </w:style>
  <w:style w:type="paragraph" w:customStyle="1" w:styleId="80">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1">
    <w:name w:val="Reference"/>
    <w:basedOn w:val="1"/>
    <w:qFormat/>
    <w:uiPriority w:val="0"/>
    <w:pPr>
      <w:spacing w:after="0"/>
      <w:ind w:left="567" w:hanging="283"/>
    </w:pPr>
    <w:rPr>
      <w:lang w:eastAsia="en-GB"/>
    </w:rPr>
  </w:style>
  <w:style w:type="paragraph" w:customStyle="1" w:styleId="82">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3">
    <w:name w:val="标题 4 字符"/>
    <w:link w:val="5"/>
    <w:qFormat/>
    <w:uiPriority w:val="0"/>
    <w:rPr>
      <w:sz w:val="24"/>
    </w:rPr>
  </w:style>
  <w:style w:type="character" w:customStyle="1" w:styleId="84">
    <w:name w:val="标题 5 字符"/>
    <w:link w:val="6"/>
    <w:qFormat/>
    <w:uiPriority w:val="0"/>
    <w:rPr>
      <w:sz w:val="22"/>
    </w:rPr>
  </w:style>
  <w:style w:type="paragraph" w:customStyle="1" w:styleId="85">
    <w:name w:val="列出段落1"/>
    <w:basedOn w:val="1"/>
    <w:link w:val="86"/>
    <w:qFormat/>
    <w:uiPriority w:val="0"/>
    <w:pPr>
      <w:widowControl w:val="0"/>
      <w:spacing w:after="0"/>
      <w:ind w:firstLine="420" w:firstLineChars="200"/>
      <w:jc w:val="both"/>
    </w:pPr>
    <w:rPr>
      <w:rFonts w:hint="eastAsia" w:ascii="Yu Mincho" w:hAnsi="Yu Mincho" w:eastAsia="Yu Mincho"/>
      <w:kern w:val="2"/>
      <w:sz w:val="21"/>
      <w:szCs w:val="22"/>
      <w:lang w:val="en-US" w:eastAsia="zh-CN"/>
    </w:rPr>
  </w:style>
  <w:style w:type="character" w:customStyle="1" w:styleId="86">
    <w:name w:val="列出段落 字符"/>
    <w:basedOn w:val="32"/>
    <w:link w:val="85"/>
    <w:qFormat/>
    <w:uiPriority w:val="0"/>
    <w:rPr>
      <w:rFonts w:hint="eastAsia" w:ascii="Yu Mincho" w:hAnsi="Yu Mincho" w:eastAsia="Yu Mincho" w:cs="Times New Roman"/>
      <w:kern w:val="2"/>
      <w:sz w:val="21"/>
      <w:szCs w:val="22"/>
      <w:lang w:eastAsia="zh-CN"/>
    </w:rPr>
  </w:style>
  <w:style w:type="paragraph" w:customStyle="1" w:styleId="87">
    <w:name w:val="列出段落11"/>
    <w:basedOn w:val="1"/>
    <w:qFormat/>
    <w:uiPriority w:val="0"/>
    <w:pPr>
      <w:widowControl w:val="0"/>
      <w:spacing w:after="0"/>
      <w:ind w:firstLine="420" w:firstLineChars="200"/>
      <w:jc w:val="both"/>
    </w:pPr>
    <w:rPr>
      <w:rFonts w:hint="eastAsia" w:ascii="Yu Mincho" w:hAnsi="Yu Mincho" w:eastAsia="Yu Mincho"/>
      <w:kern w:val="2"/>
      <w:sz w:val="21"/>
      <w:szCs w:val="22"/>
      <w:lang w:val="en-US" w:eastAsia="zh-CN"/>
    </w:rPr>
  </w:style>
  <w:style w:type="character" w:customStyle="1" w:styleId="88">
    <w:name w:val="TAL Car"/>
    <w:basedOn w:val="32"/>
    <w:qFormat/>
    <w:uiPriority w:val="0"/>
    <w:rPr>
      <w:rFonts w:ascii="Arial" w:hAnsi="Arial" w:eastAsia="Times New Roman" w:cs="Times New Roman"/>
      <w:sz w:val="18"/>
      <w:szCs w:val="20"/>
      <w:lang w:val="en-US" w:eastAsia="en-US"/>
    </w:rPr>
  </w:style>
  <w:style w:type="character" w:customStyle="1" w:styleId="89">
    <w:name w:val="TAC Char"/>
    <w:basedOn w:val="32"/>
    <w:qFormat/>
    <w:uiPriority w:val="0"/>
    <w:rPr>
      <w:rFonts w:hint="default" w:ascii="Arial" w:hAnsi="Arial" w:eastAsia="Times New Roman" w:cs="Times New Roman"/>
      <w:sz w:val="18"/>
      <w:szCs w:val="20"/>
      <w:lang w:val="en-US" w:eastAsia="en-US"/>
    </w:rPr>
  </w:style>
  <w:style w:type="character" w:customStyle="1" w:styleId="90">
    <w:name w:val="TAH Car"/>
    <w:basedOn w:val="32"/>
    <w:qFormat/>
    <w:uiPriority w:val="0"/>
    <w:rPr>
      <w:rFonts w:hint="default" w:ascii="Arial" w:hAnsi="Arial" w:eastAsia="Times New Roman" w:cs="Times New Roman"/>
      <w:b/>
      <w:sz w:val="18"/>
      <w:szCs w:val="20"/>
      <w:lang w:val="en-US" w:eastAsia="en-US"/>
    </w:rPr>
  </w:style>
  <w:style w:type="character" w:customStyle="1" w:styleId="91">
    <w:name w:val="TAN Char"/>
    <w:basedOn w:val="32"/>
    <w:qFormat/>
    <w:uiPriority w:val="0"/>
    <w:rPr>
      <w:rFonts w:hint="default" w:ascii="Arial" w:hAnsi="Arial" w:eastAsia="Times New Roman" w:cs="Times New Roman"/>
      <w:sz w:val="18"/>
      <w:szCs w:val="20"/>
      <w:lang w:val="en-US" w:eastAsia="en-US"/>
    </w:rPr>
  </w:style>
  <w:style w:type="paragraph" w:customStyle="1" w:styleId="92">
    <w:name w:val="List Paragraph1"/>
    <w:basedOn w:val="1"/>
    <w:qFormat/>
    <w:uiPriority w:val="0"/>
    <w:pPr>
      <w:overflowPunct w:val="0"/>
      <w:autoSpaceDE w:val="0"/>
      <w:autoSpaceDN w:val="0"/>
      <w:adjustRightInd w:val="0"/>
      <w:spacing w:before="100" w:beforeAutospacing="1"/>
      <w:ind w:firstLine="420" w:firstLineChars="200"/>
      <w:textAlignment w:val="baseline"/>
    </w:pPr>
    <w:rPr>
      <w:rFonts w:eastAsia="MS Mincho"/>
      <w:sz w:val="24"/>
      <w:szCs w:val="24"/>
      <w:lang w:val="en-US" w:eastAsia="zh-CN"/>
    </w:rPr>
  </w:style>
  <w:style w:type="paragraph" w:customStyle="1" w:styleId="93">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4DBFD-518C-4D3B-8B66-515BD99C8CE5}">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6</Pages>
  <Words>2316</Words>
  <Characters>13202</Characters>
  <Lines>110</Lines>
  <Paragraphs>30</Paragraphs>
  <TotalTime>2</TotalTime>
  <ScaleCrop>false</ScaleCrop>
  <LinksUpToDate>false</LinksUpToDate>
  <CharactersWithSpaces>15488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2025-10-03T10:35:57Z</dcterms:modified>
  <dc:subject>&lt;Title 1; Title 2&gt; (Release 14 | 13 |12)</dc:subject>
  <dc:title>3GPP TS ab.cde</dc:title>
  <cp:revision>360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188093F061274CFBB61780F5537C285B</vt:lpwstr>
  </property>
</Properties>
</file>